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899" w:rsidRPr="00C30788" w:rsidRDefault="00A57899" w:rsidP="00A57899">
      <w:pPr>
        <w:jc w:val="center"/>
        <w:rPr>
          <w:b/>
          <w:sz w:val="22"/>
          <w:szCs w:val="22"/>
        </w:rPr>
      </w:pPr>
      <w:r w:rsidRPr="00C30788">
        <w:rPr>
          <w:b/>
          <w:sz w:val="22"/>
          <w:szCs w:val="22"/>
        </w:rPr>
        <w:t>ANALISIS FAKTOR-FA</w:t>
      </w:r>
      <w:bookmarkStart w:id="0" w:name="_GoBack"/>
      <w:bookmarkEnd w:id="0"/>
      <w:r w:rsidRPr="00C30788">
        <w:rPr>
          <w:b/>
          <w:sz w:val="22"/>
          <w:szCs w:val="22"/>
        </w:rPr>
        <w:t>KTOR YANG MEMPENGARUHI PRODUKSI TANDAN BUAH SEGAR BUAH  (TBS) KELAPA SAWIT DI KEBUN BANGUN BANDAR, PT. SOCFIN INDONESIA</w:t>
      </w:r>
    </w:p>
    <w:p w:rsidR="00A57899" w:rsidRPr="00C30788" w:rsidRDefault="00A57899" w:rsidP="00A57899">
      <w:pPr>
        <w:jc w:val="center"/>
        <w:rPr>
          <w:b/>
          <w:sz w:val="22"/>
          <w:szCs w:val="22"/>
        </w:rPr>
      </w:pPr>
    </w:p>
    <w:p w:rsidR="00A57899" w:rsidRPr="00C30788" w:rsidRDefault="00A57899" w:rsidP="00A57899">
      <w:pPr>
        <w:jc w:val="center"/>
        <w:rPr>
          <w:b/>
          <w:i/>
          <w:sz w:val="22"/>
          <w:szCs w:val="22"/>
        </w:rPr>
      </w:pPr>
      <w:r w:rsidRPr="00C30788">
        <w:rPr>
          <w:b/>
          <w:i/>
          <w:sz w:val="22"/>
          <w:szCs w:val="22"/>
        </w:rPr>
        <w:t xml:space="preserve">ANALYSIS OF THE FACTORS INFLUENCING THE PALM OIL FRESH FRUIT BUNCH (FFB) PRODUCTION IN BANGUN BANDAR PLANTATION, </w:t>
      </w:r>
    </w:p>
    <w:p w:rsidR="00A57899" w:rsidRPr="00C30788" w:rsidRDefault="00A57899" w:rsidP="00A57899">
      <w:pPr>
        <w:jc w:val="center"/>
        <w:rPr>
          <w:b/>
          <w:i/>
          <w:sz w:val="22"/>
          <w:szCs w:val="22"/>
        </w:rPr>
      </w:pPr>
      <w:r w:rsidRPr="00C30788">
        <w:rPr>
          <w:b/>
          <w:i/>
          <w:sz w:val="22"/>
          <w:szCs w:val="22"/>
        </w:rPr>
        <w:t>PT. SOCFIN INDONESIA</w:t>
      </w:r>
    </w:p>
    <w:p w:rsidR="00A57899" w:rsidRPr="00C30788" w:rsidRDefault="00A57899" w:rsidP="00A57899">
      <w:pPr>
        <w:jc w:val="center"/>
        <w:rPr>
          <w:b/>
          <w:i/>
          <w:sz w:val="22"/>
          <w:szCs w:val="22"/>
          <w:lang w:val="en-US"/>
        </w:rPr>
      </w:pPr>
    </w:p>
    <w:p w:rsidR="00A57899" w:rsidRPr="00C30788" w:rsidRDefault="00A57899" w:rsidP="00A57899">
      <w:pPr>
        <w:jc w:val="center"/>
        <w:rPr>
          <w:b/>
          <w:sz w:val="22"/>
          <w:szCs w:val="22"/>
          <w:vertAlign w:val="superscript"/>
        </w:rPr>
      </w:pPr>
      <w:r w:rsidRPr="00C30788">
        <w:rPr>
          <w:b/>
          <w:sz w:val="22"/>
          <w:szCs w:val="22"/>
        </w:rPr>
        <w:t>Prian Ruri Pratama Manurung</w:t>
      </w:r>
      <w:r w:rsidRPr="00C30788">
        <w:rPr>
          <w:b/>
          <w:sz w:val="22"/>
          <w:szCs w:val="22"/>
          <w:vertAlign w:val="superscript"/>
        </w:rPr>
        <w:t>1*</w:t>
      </w:r>
      <w:r w:rsidRPr="00C30788">
        <w:rPr>
          <w:b/>
          <w:sz w:val="22"/>
          <w:szCs w:val="22"/>
        </w:rPr>
        <w:t>, Lestari Rahayu Waluyati</w:t>
      </w:r>
      <w:r w:rsidRPr="00C30788">
        <w:rPr>
          <w:b/>
          <w:sz w:val="22"/>
          <w:szCs w:val="22"/>
          <w:vertAlign w:val="superscript"/>
        </w:rPr>
        <w:t>2</w:t>
      </w:r>
      <w:r w:rsidRPr="00C30788">
        <w:rPr>
          <w:b/>
          <w:sz w:val="22"/>
          <w:szCs w:val="22"/>
        </w:rPr>
        <w:t>, dan Slamet Hartono</w:t>
      </w:r>
      <w:r w:rsidRPr="00C30788">
        <w:rPr>
          <w:b/>
          <w:sz w:val="22"/>
          <w:szCs w:val="22"/>
          <w:vertAlign w:val="superscript"/>
        </w:rPr>
        <w:t>2</w:t>
      </w:r>
    </w:p>
    <w:p w:rsidR="00A57899" w:rsidRPr="00C30788" w:rsidRDefault="00A57899" w:rsidP="00A57899">
      <w:pPr>
        <w:jc w:val="center"/>
        <w:rPr>
          <w:sz w:val="22"/>
          <w:szCs w:val="22"/>
        </w:rPr>
      </w:pPr>
      <w:r w:rsidRPr="00C30788">
        <w:rPr>
          <w:sz w:val="22"/>
          <w:szCs w:val="22"/>
          <w:vertAlign w:val="superscript"/>
        </w:rPr>
        <w:t>1</w:t>
      </w:r>
      <w:r w:rsidRPr="00C30788">
        <w:rPr>
          <w:sz w:val="22"/>
          <w:szCs w:val="22"/>
        </w:rPr>
        <w:t xml:space="preserve">Magister Manajemen Agribisnis, Fakultas Pertanian, </w:t>
      </w:r>
      <w:r w:rsidRPr="00C30788">
        <w:rPr>
          <w:sz w:val="22"/>
          <w:szCs w:val="22"/>
          <w:lang w:val="en-US"/>
        </w:rPr>
        <w:t>U</w:t>
      </w:r>
      <w:r w:rsidRPr="00C30788">
        <w:rPr>
          <w:sz w:val="22"/>
          <w:szCs w:val="22"/>
        </w:rPr>
        <w:t xml:space="preserve">niversitas </w:t>
      </w:r>
      <w:r w:rsidRPr="00C30788">
        <w:rPr>
          <w:sz w:val="22"/>
          <w:szCs w:val="22"/>
          <w:lang w:val="en-US"/>
        </w:rPr>
        <w:t>G</w:t>
      </w:r>
      <w:r w:rsidRPr="00C30788">
        <w:rPr>
          <w:sz w:val="22"/>
          <w:szCs w:val="22"/>
        </w:rPr>
        <w:t xml:space="preserve">adjah </w:t>
      </w:r>
      <w:r w:rsidRPr="00C30788">
        <w:rPr>
          <w:sz w:val="22"/>
          <w:szCs w:val="22"/>
          <w:lang w:val="en-US"/>
        </w:rPr>
        <w:t>M</w:t>
      </w:r>
      <w:r w:rsidRPr="00C30788">
        <w:rPr>
          <w:sz w:val="22"/>
          <w:szCs w:val="22"/>
        </w:rPr>
        <w:t>ada</w:t>
      </w:r>
    </w:p>
    <w:p w:rsidR="00A57899" w:rsidRPr="00C30788" w:rsidRDefault="00A57899" w:rsidP="00A57899">
      <w:pPr>
        <w:jc w:val="center"/>
        <w:rPr>
          <w:sz w:val="22"/>
          <w:szCs w:val="22"/>
        </w:rPr>
      </w:pPr>
      <w:r w:rsidRPr="00C30788">
        <w:rPr>
          <w:sz w:val="22"/>
          <w:szCs w:val="22"/>
          <w:vertAlign w:val="superscript"/>
        </w:rPr>
        <w:t>2</w:t>
      </w:r>
      <w:r w:rsidRPr="00C30788">
        <w:rPr>
          <w:sz w:val="22"/>
          <w:szCs w:val="22"/>
        </w:rPr>
        <w:t>Departemen Sosial Ekonomi Pertanian, Fakultas Pertanian, Universitas Gadjah Mada</w:t>
      </w:r>
    </w:p>
    <w:p w:rsidR="00A57899" w:rsidRPr="00C30788" w:rsidRDefault="00A57899" w:rsidP="00A57899">
      <w:pPr>
        <w:jc w:val="center"/>
        <w:rPr>
          <w:sz w:val="22"/>
          <w:szCs w:val="22"/>
        </w:rPr>
      </w:pPr>
      <w:r w:rsidRPr="00C30788">
        <w:rPr>
          <w:sz w:val="22"/>
          <w:szCs w:val="22"/>
          <w:vertAlign w:val="superscript"/>
        </w:rPr>
        <w:t>*</w:t>
      </w:r>
      <w:r w:rsidRPr="00C30788">
        <w:rPr>
          <w:sz w:val="22"/>
          <w:szCs w:val="22"/>
        </w:rPr>
        <w:t>Penulis Korespondensi: prianmanurung@gmail.com</w:t>
      </w:r>
    </w:p>
    <w:p w:rsidR="00A57899" w:rsidRPr="00C30788" w:rsidRDefault="00A57899" w:rsidP="00A57899">
      <w:pPr>
        <w:jc w:val="center"/>
        <w:outlineLvl w:val="0"/>
        <w:rPr>
          <w:b/>
          <w:i/>
          <w:sz w:val="22"/>
          <w:szCs w:val="22"/>
        </w:rPr>
      </w:pPr>
    </w:p>
    <w:p w:rsidR="00A57899" w:rsidRPr="00C30788" w:rsidRDefault="00A57899" w:rsidP="00A57899">
      <w:pPr>
        <w:jc w:val="center"/>
        <w:outlineLvl w:val="0"/>
        <w:rPr>
          <w:b/>
          <w:i/>
          <w:sz w:val="22"/>
          <w:szCs w:val="22"/>
        </w:rPr>
      </w:pPr>
      <w:r w:rsidRPr="00C30788">
        <w:rPr>
          <w:b/>
          <w:i/>
          <w:sz w:val="22"/>
          <w:szCs w:val="22"/>
        </w:rPr>
        <w:t>ABSTRACT</w:t>
      </w:r>
    </w:p>
    <w:p w:rsidR="00A57899" w:rsidRPr="00C30788" w:rsidRDefault="00A57899" w:rsidP="00A57899">
      <w:pPr>
        <w:spacing w:before="120"/>
        <w:jc w:val="both"/>
        <w:rPr>
          <w:i/>
          <w:sz w:val="22"/>
          <w:szCs w:val="22"/>
        </w:rPr>
      </w:pPr>
      <w:r w:rsidRPr="00C30788">
        <w:rPr>
          <w:i/>
          <w:sz w:val="22"/>
          <w:szCs w:val="22"/>
        </w:rPr>
        <w:t>This research was carried out on October 1 – November 30, 2017 at Bangun Bandar palm oil plantations,  PT. Socfindo in Dolok Masihul, Serdang Bedagai Regency, North Sumatera province Bangun Bandar palm oil plantation was chosen because certain considerations. Consideration of Bangun Bandar plantations as a place of research because Bangun Bandar palm oil plantation has complete facilities to support the completeness of data on research. The Bangun Bandar palm oil plantation  has 3.335,64 ha acres of area is divided into 4 Afdeling. In addition, the  Bangun Bandar Plantation also has factories and Socfindo Seed Production and Laboratories (SSPL). This research aims to know the influence of production factor (wide of area, FFB base, age of plant, labour, and fertilizer) against FFB production. The research of using Multiple Linear regression analysis to analyze the factors that affect the production of  palm oil FFB. The results showed that the independent variable which consists of wide of area, the age of the plant, labor, and fertilizer significantly affect variables significant at the level of free 99%. Wide of area variable, labor, and fertilizer is positively influencing variables are bound or an increase in the independent variables may improve palm oil  FFB production and the age of plant variable negative effect against the palm oil FFB production. While the reductions did not affect crop production foreman and the losses of the oil palm.</w:t>
      </w:r>
    </w:p>
    <w:p w:rsidR="00A57899" w:rsidRPr="00C30788" w:rsidRDefault="00A57899" w:rsidP="00A57899">
      <w:pPr>
        <w:jc w:val="both"/>
        <w:rPr>
          <w:i/>
          <w:sz w:val="22"/>
          <w:szCs w:val="22"/>
        </w:rPr>
      </w:pPr>
      <w:r w:rsidRPr="00C30788">
        <w:rPr>
          <w:b/>
          <w:i/>
          <w:sz w:val="22"/>
          <w:szCs w:val="22"/>
        </w:rPr>
        <w:t>Keyword</w:t>
      </w:r>
      <w:r w:rsidRPr="00C30788">
        <w:rPr>
          <w:i/>
          <w:sz w:val="22"/>
          <w:szCs w:val="22"/>
        </w:rPr>
        <w:t>: Palm oil, Production, Multiple Linier Regression</w:t>
      </w:r>
    </w:p>
    <w:p w:rsidR="00A57899" w:rsidRPr="00C30788" w:rsidRDefault="00A57899" w:rsidP="00A57899">
      <w:pPr>
        <w:jc w:val="both"/>
        <w:rPr>
          <w:b/>
          <w:sz w:val="22"/>
          <w:szCs w:val="22"/>
        </w:rPr>
      </w:pPr>
    </w:p>
    <w:p w:rsidR="00A57899" w:rsidRPr="00C30788" w:rsidRDefault="00A57899" w:rsidP="00A57899">
      <w:pPr>
        <w:spacing w:after="120"/>
        <w:jc w:val="center"/>
        <w:rPr>
          <w:b/>
          <w:sz w:val="22"/>
          <w:szCs w:val="22"/>
        </w:rPr>
      </w:pPr>
      <w:r w:rsidRPr="00C30788">
        <w:rPr>
          <w:b/>
          <w:sz w:val="22"/>
          <w:szCs w:val="22"/>
        </w:rPr>
        <w:t>ABSTRAK</w:t>
      </w:r>
    </w:p>
    <w:p w:rsidR="00A57899" w:rsidRPr="00C30788" w:rsidRDefault="00A57899" w:rsidP="00A57899">
      <w:pPr>
        <w:jc w:val="both"/>
        <w:rPr>
          <w:sz w:val="22"/>
          <w:szCs w:val="22"/>
        </w:rPr>
      </w:pPr>
      <w:r w:rsidRPr="00C30788">
        <w:rPr>
          <w:sz w:val="22"/>
          <w:szCs w:val="22"/>
        </w:rPr>
        <w:t xml:space="preserve">Penelitian ini dilaksanakan pada tanggal 1 – 30 November 2017 yang bertempat di perkebunan kelapa sawit Bangun Bandar PT. Socfindo di kecamatan Dolok Masihul, kabupaten Serdang Bedagai, provinsi Sumatera Utara.Pemilihan perkebunan bangun bandar sebagai tempat penelitian dilakukan dengan pertimbangan tertentu. Pertimbangan perkebunan Bangun Bandar sebagai tempat penelitian karena perkebunan Bangun Bandar memiliki fasilitas yang lengkap untuk menunjang kelengkapan data pada penelitian. Perkebunan Bangun Bandar memiliki areal seluas 3,335.64 ha yang terbagi menjadi 4 Afdeling. Selain itu, perkebunan Bangun Bandar juga memilki Pabrik dan </w:t>
      </w:r>
      <w:r w:rsidRPr="00C30788">
        <w:rPr>
          <w:i/>
          <w:sz w:val="22"/>
          <w:szCs w:val="22"/>
        </w:rPr>
        <w:t>Socfindo Seed Production and Laboratories</w:t>
      </w:r>
      <w:r w:rsidRPr="00C30788">
        <w:rPr>
          <w:sz w:val="22"/>
          <w:szCs w:val="22"/>
        </w:rPr>
        <w:t xml:space="preserve"> (SSPL). Penelitian ini bertujuan untuk mengetahui pengaruh pengaruh faktor produksi (luas areal, basis janjang, umur tanaman, tenaga kerja, dan pupuk) terhadap produksi Tandan Buah Segar (TBS) kelapa sawit. Penelitian ini menggunakan analisis Regresi Linier Berganda untuk menganalisis faktor-faktor yang mempengaruhi produksi TBS kelapa sawit. Hasil penelitian menunjukkan bahwa variabel independen yang terdiri dari luas areal, umur tanaman, tenaga kerja, dan pupuk signifikan mempengaruhi variabel bebas pada tingkat signifikan 99%. Variabel luas areal,  tenaga kerja, </w:t>
      </w:r>
      <w:r w:rsidRPr="00C30788">
        <w:rPr>
          <w:sz w:val="22"/>
          <w:szCs w:val="22"/>
        </w:rPr>
        <w:lastRenderedPageBreak/>
        <w:t xml:space="preserve">dan pupuk secara positif mempengaruhi variabel terikat atau memperngaruhi meningkatkan produksi TBS kelapa sawit dan variabel umur tanaman berpengaruh negatif terhadap produksi TBS kelapa sawit. </w:t>
      </w:r>
    </w:p>
    <w:p w:rsidR="00A57899" w:rsidRPr="00C30788" w:rsidRDefault="00A57899" w:rsidP="00A57899">
      <w:pPr>
        <w:ind w:left="1259" w:hanging="1259"/>
        <w:jc w:val="both"/>
        <w:rPr>
          <w:sz w:val="22"/>
          <w:szCs w:val="22"/>
        </w:rPr>
      </w:pPr>
      <w:r w:rsidRPr="00C30788">
        <w:rPr>
          <w:b/>
          <w:sz w:val="22"/>
          <w:szCs w:val="22"/>
        </w:rPr>
        <w:t>Kata Kunci</w:t>
      </w:r>
      <w:r w:rsidRPr="00C30788">
        <w:rPr>
          <w:sz w:val="22"/>
          <w:szCs w:val="22"/>
        </w:rPr>
        <w:t>:</w:t>
      </w:r>
      <w:r w:rsidRPr="00C30788">
        <w:rPr>
          <w:sz w:val="22"/>
          <w:szCs w:val="22"/>
        </w:rPr>
        <w:tab/>
        <w:t>Kelapa Sawit, Produksi, Analisis Regresi Berganda</w:t>
      </w:r>
    </w:p>
    <w:p w:rsidR="00A57899" w:rsidRPr="00C30788" w:rsidRDefault="00A57899" w:rsidP="00A57899">
      <w:pPr>
        <w:ind w:right="-58"/>
        <w:jc w:val="both"/>
        <w:rPr>
          <w:b/>
          <w:sz w:val="22"/>
          <w:szCs w:val="22"/>
        </w:rPr>
      </w:pPr>
    </w:p>
    <w:p w:rsidR="00A57899" w:rsidRDefault="00A57899" w:rsidP="00A57899">
      <w:pPr>
        <w:ind w:right="-58"/>
        <w:jc w:val="center"/>
        <w:rPr>
          <w:b/>
          <w:sz w:val="22"/>
          <w:szCs w:val="22"/>
        </w:rPr>
      </w:pPr>
    </w:p>
    <w:p w:rsidR="00A57899" w:rsidRDefault="00A57899" w:rsidP="00A57899">
      <w:pPr>
        <w:ind w:right="-58"/>
        <w:jc w:val="center"/>
        <w:rPr>
          <w:b/>
          <w:sz w:val="22"/>
          <w:szCs w:val="22"/>
        </w:rPr>
      </w:pPr>
      <w:r w:rsidRPr="00C30788">
        <w:rPr>
          <w:b/>
          <w:sz w:val="22"/>
          <w:szCs w:val="22"/>
        </w:rPr>
        <w:t>PENDAHULUA</w:t>
      </w:r>
      <w:r>
        <w:rPr>
          <w:b/>
          <w:sz w:val="22"/>
          <w:szCs w:val="22"/>
        </w:rPr>
        <w:t>N</w:t>
      </w:r>
    </w:p>
    <w:p w:rsidR="00A57899" w:rsidRPr="00C30788" w:rsidRDefault="00A57899" w:rsidP="00A57899">
      <w:pPr>
        <w:ind w:right="-58"/>
        <w:jc w:val="center"/>
        <w:rPr>
          <w:b/>
          <w:sz w:val="22"/>
          <w:szCs w:val="22"/>
        </w:rPr>
      </w:pPr>
    </w:p>
    <w:p w:rsidR="00A57899" w:rsidRPr="00C30788" w:rsidRDefault="00A57899" w:rsidP="00A57899">
      <w:pPr>
        <w:ind w:right="-58" w:firstLine="720"/>
        <w:jc w:val="both"/>
        <w:rPr>
          <w:sz w:val="22"/>
          <w:szCs w:val="22"/>
        </w:rPr>
      </w:pPr>
      <w:r w:rsidRPr="00C30788">
        <w:rPr>
          <w:sz w:val="22"/>
          <w:szCs w:val="22"/>
        </w:rPr>
        <w:t xml:space="preserve">Kelapa sawit (Elais guineensis Jacq) adalah penghasil minyak nabati terbesar di dunia Menurut data USDA tahun 2014 </w:t>
      </w:r>
      <w:r w:rsidRPr="00C30788">
        <w:rPr>
          <w:i/>
          <w:sz w:val="22"/>
          <w:szCs w:val="22"/>
        </w:rPr>
        <w:t xml:space="preserve">dalam </w:t>
      </w:r>
      <w:r w:rsidRPr="00C30788">
        <w:rPr>
          <w:i/>
          <w:sz w:val="22"/>
          <w:szCs w:val="22"/>
        </w:rPr>
        <w:fldChar w:fldCharType="begin" w:fldLock="1"/>
      </w:r>
      <w:r w:rsidRPr="00C30788">
        <w:rPr>
          <w:i/>
          <w:sz w:val="22"/>
          <w:szCs w:val="22"/>
        </w:rPr>
        <w:instrText>ADDIN CSL_CITATION { "citationItems" : [ { "id" : "ITEM-1", "itemData" : { "DOI" : "10.1016/j.eja.2016.11.002", "ISSN" : "1161-0301", "abstract" : "Oil palm, currently the world\u2019s main vegetable oil crop, is characterised by a large productivity and a long life span (\u226525 years). Peak oil yields of 12 t ha\u22121 yr\u22121 have been achieved in small plantations, and maximum theoretical yields as calculated with simulation models are 18.5 t oil ha\u22121 yr\u22121, yet average productivity worldwide has stagnated around 3 t oil ha\u22121 yr\u22121. Considering the threat of expansion into valuable rainforests, it is important that the factors underlying these existing yield gaps are understood and, where feasible, addressed. In this review, we present an overview of the available data on yield- determining, yield-limiting, and yield-reducing factors in oil palm; the effects of these factors on yield, as measured in case studies or calculated using computer models; and the underlying plant-physiological mechanisms. We distinguish four production levels: the potential, water-limited, nutrient-limited, and the actual yield. The potential yield over a plantation lifetime is determined by incoming photosyn- thetically active radiation (PAR), temperature, atmospheric CO2 concentration and planting material, assuming optimum plantation establishment, planting density (120\u2013150 palms per hectares), canopy management (30\u201360 leaves depending on palm age), pollination, and harvesting. Water-limited yields in environments with water deficits &gt;400 mm year\u22121 can be less than one-third of the potential yield, depending on additional factors such as temperature, wind speed, soil texture, and soil depth. Nutrient- limited yields of less than 50% of the potential yield have been recorded when nitrogen or potassium were not applied. Actual yields are influenced by yield-reducing factors such as unsuitable ground vegetation, pests, and diseases, and may be close to zero in case of severe infestations. Smallholders face particular constraints such as the use of counterfeit seed and insufficient fertiliser application. Closing yield gaps in existing plantations could increase global production by 15\u201320 Mt oil yr\u22121, which would limit the drive for further area expansion at a global scale. To increase yields in existing and future plantations in a sustainable way, all production factors mentioned need to be understood and addressed.", "author" : [ { "dropping-particle" : "", "family" : "Woittiez", "given" : "Lotte S", "non-dropping-particle" : "", "parse-names" : false, "suffix" : "" }, { "dropping-particle" : "Van", "family" : "Wijk", "given" : "Mark T", "non-dropping-particle" : "", "parse-names" : false, "suffix" : "" }, { "dropping-particle" : "", "family" : "Slingerland", "given" : "Maja", "non-dropping-particle" : "", "parse-names" : false, "suffix" : "" }, { "dropping-particle" : "Van", "family" : "Noordwijk", "given" : "Meine", "non-dropping-particle" : "", "parse-names" : false, "suffix" : "" }, { "dropping-particle" : "", "family" : "Giller", "given" : "Ken E", "non-dropping-particle" : "", "parse-names" : false, "suffix" : "" } ], "container-title" : "European Journal of Agronomy", "id" : "ITEM-1", "issued" : { "date-parts" : [ [ "2017" ] ] }, "page" : "57-77", "publisher" : "Elsevier B.V.", "title" : "Yield gaps in oil palm : A quantitative review of contributing factors", "type" : "article-journal", "volume" : "83" }, "uris" : [ "http://www.mendeley.com/documents/?uuid=66e96253-c07d-4ea5-92c0-c38f8752ea96" ] } ], "mendeley" : { "formattedCitation" : "(Woittiez, Wijk, Slingerland, Noordwijk, &amp; Giller, 2017)", "manualFormatting" : "Woittiez et al., (2017)", "plainTextFormattedCitation" : "(Woittiez, Wijk, Slingerland, Noordwijk, &amp; Giller, 2017)", "previouslyFormattedCitation" : "(Woittiez, Wijk, Slingerland, Noordwijk, &amp; Giller, 2017)" }, "properties" : {  }, "schema" : "https://github.com/citation-style-language/schema/raw/master/csl-citation.json" }</w:instrText>
      </w:r>
      <w:r w:rsidRPr="00C30788">
        <w:rPr>
          <w:i/>
          <w:sz w:val="22"/>
          <w:szCs w:val="22"/>
        </w:rPr>
        <w:fldChar w:fldCharType="separate"/>
      </w:r>
      <w:r w:rsidRPr="00C30788">
        <w:rPr>
          <w:sz w:val="22"/>
          <w:szCs w:val="22"/>
        </w:rPr>
        <w:t xml:space="preserve">Woittiez </w:t>
      </w:r>
      <w:r w:rsidRPr="00C30788">
        <w:rPr>
          <w:i/>
          <w:sz w:val="22"/>
          <w:szCs w:val="22"/>
        </w:rPr>
        <w:t>et al.</w:t>
      </w:r>
      <w:r w:rsidRPr="00C30788">
        <w:rPr>
          <w:sz w:val="22"/>
          <w:szCs w:val="22"/>
        </w:rPr>
        <w:t>, (2017)</w:t>
      </w:r>
      <w:r w:rsidRPr="00C30788">
        <w:rPr>
          <w:i/>
          <w:sz w:val="22"/>
          <w:szCs w:val="22"/>
        </w:rPr>
        <w:fldChar w:fldCharType="end"/>
      </w:r>
      <w:r w:rsidRPr="00C30788">
        <w:rPr>
          <w:sz w:val="22"/>
          <w:szCs w:val="22"/>
        </w:rPr>
        <w:t xml:space="preserve">, Produksi minyak sawit diseluruh dunia diperkirakan 63 Mt minyak sawit mentah per tahun atau 36% dari total produksi minyak nabati didunia. Indonesia merupakan produsen minyak sawit terbesar didunia. Menurut data </w:t>
      </w:r>
      <w:r w:rsidRPr="00C30788">
        <w:rPr>
          <w:sz w:val="22"/>
          <w:szCs w:val="22"/>
        </w:rPr>
        <w:fldChar w:fldCharType="begin" w:fldLock="1"/>
      </w:r>
      <w:r w:rsidRPr="00C30788">
        <w:rPr>
          <w:sz w:val="22"/>
          <w:szCs w:val="22"/>
        </w:rPr>
        <w:instrText>ADDIN CSL_CITATION { "citationItems" : [ { "id" : "ITEM-1", "itemData" : { "author" : [ { "dropping-particle" : "", "family" : "Ditjenbun", "given" : "", "non-dropping-particle" : "", "parse-names" : false, "suffix" : "" } ], "id" : "ITEM-1", "issued" : { "date-parts" : [ [ "2016" ] ] }, "publisher" : "Kementerian Pertanian", "title" : "Outlook Kelapa Sawit", "type" : "report" }, "uris" : [ "http://www.mendeley.com/documents/?uuid=45cf79df-2e11-4206-b46a-ebc3b66f5f5c" ] } ], "mendeley" : { "formattedCitation" : "(Ditjenbun, 2016)", "manualFormatting" : "Direktorat Jenderal Perkebunan (2016)", "plainTextFormattedCitation" : "(Ditjenbun, 2016)", "previouslyFormattedCitation" : "(Ditjenbun, 2016)" }, "properties" : {  }, "schema" : "https://github.com/citation-style-language/schema/raw/master/csl-citation.json" }</w:instrText>
      </w:r>
      <w:r w:rsidRPr="00C30788">
        <w:rPr>
          <w:sz w:val="22"/>
          <w:szCs w:val="22"/>
        </w:rPr>
        <w:fldChar w:fldCharType="separate"/>
      </w:r>
      <w:r w:rsidRPr="00C30788">
        <w:rPr>
          <w:sz w:val="22"/>
          <w:szCs w:val="22"/>
        </w:rPr>
        <w:t>Direktorat Jenderal Perkebunan (2016)</w:t>
      </w:r>
      <w:r w:rsidRPr="00C30788">
        <w:rPr>
          <w:sz w:val="22"/>
          <w:szCs w:val="22"/>
        </w:rPr>
        <w:fldChar w:fldCharType="end"/>
      </w:r>
      <w:r w:rsidRPr="00C30788">
        <w:rPr>
          <w:sz w:val="22"/>
          <w:szCs w:val="22"/>
        </w:rPr>
        <w:t xml:space="preserve">, Luas perkebunan kelapa sawit dalam periode 1980-2016 telah meningkat 39 kali lipat. Peningkatan luas areal ini terjadi pada Perkebunan Rakyat (PR), Perkebunan Besar Negara (PBN), dan Perkebunan Besar Swasta (PBS).  Berdasarkan status pengusahaan tersebut PBN menguasai 11,67% dari luas perkebunan kelapa sawit di Indonesia, PBS 50,77% dari luas  perkebunan kelapa sawit di Indonesia, dan PR 37,5% dari luas perkebunan kelapa sawit di Indonesia. Selama 100 tahun terakhir, tanaman kelapa sawit telah berubah dari tanaman agriforestri dan tanaman hias menjadi tanaman penghasil minyak nabati yang penting di dunia </w:t>
      </w:r>
      <w:r w:rsidRPr="00C30788">
        <w:rPr>
          <w:sz w:val="22"/>
          <w:szCs w:val="22"/>
        </w:rPr>
        <w:fldChar w:fldCharType="begin" w:fldLock="1"/>
      </w:r>
      <w:r w:rsidRPr="00C30788">
        <w:rPr>
          <w:sz w:val="22"/>
          <w:szCs w:val="22"/>
        </w:rPr>
        <w:instrText>ADDIN CSL_CITATION { "citationItems" : [ { "id" : "ITEM-1", "itemData" : { "DOI" : "10.1016/j.eja.2016.11.002", "ISSN" : "1161-0301", "abstract" : "Oil palm, currently the world\u2019s main vegetable oil crop, is characterised by a large productivity and a long life span (\u226525 years). Peak oil yields of 12 t ha\u22121 yr\u22121 have been achieved in small plantations, and maximum theoretical yields as calculated with simulation models are 18.5 t oil ha\u22121 yr\u22121, yet average productivity worldwide has stagnated around 3 t oil ha\u22121 yr\u22121. Considering the threat of expansion into valuable rainforests, it is important that the factors underlying these existing yield gaps are understood and, where feasible, addressed. In this review, we present an overview of the available data on yield- determining, yield-limiting, and yield-reducing factors in oil palm; the effects of these factors on yield, as measured in case studies or calculated using computer models; and the underlying plant-physiological mechanisms. We distinguish four production levels: the potential, water-limited, nutrient-limited, and the actual yield. The potential yield over a plantation lifetime is determined by incoming photosyn- thetically active radiation (PAR), temperature, atmospheric CO2 concentration and planting material, assuming optimum plantation establishment, planting density (120\u2013150 palms per hectares), canopy management (30\u201360 leaves depending on palm age), pollination, and harvesting. Water-limited yields in environments with water deficits &gt;400 mm year\u22121 can be less than one-third of the potential yield, depending on additional factors such as temperature, wind speed, soil texture, and soil depth. Nutrient- limited yields of less than 50% of the potential yield have been recorded when nitrogen or potassium were not applied. Actual yields are influenced by yield-reducing factors such as unsuitable ground vegetation, pests, and diseases, and may be close to zero in case of severe infestations. Smallholders face particular constraints such as the use of counterfeit seed and insufficient fertiliser application. Closing yield gaps in existing plantations could increase global production by 15\u201320 Mt oil yr\u22121, which would limit the drive for further area expansion at a global scale. To increase yields in existing and future plantations in a sustainable way, all production factors mentioned need to be understood and addressed.", "author" : [ { "dropping-particle" : "", "family" : "Woittiez", "given" : "Lotte S", "non-dropping-particle" : "", "parse-names" : false, "suffix" : "" }, { "dropping-particle" : "Van", "family" : "Wijk", "given" : "Mark T", "non-dropping-particle" : "", "parse-names" : false, "suffix" : "" }, { "dropping-particle" : "", "family" : "Slingerland", "given" : "Maja", "non-dropping-particle" : "", "parse-names" : false, "suffix" : "" }, { "dropping-particle" : "Van", "family" : "Noordwijk", "given" : "Meine", "non-dropping-particle" : "", "parse-names" : false, "suffix" : "" }, { "dropping-particle" : "", "family" : "Giller", "given" : "Ken E", "non-dropping-particle" : "", "parse-names" : false, "suffix" : "" } ], "container-title" : "European Journal of Agronomy", "id" : "ITEM-1", "issued" : { "date-parts" : [ [ "2017" ] ] }, "page" : "57-77", "publisher" : "Elsevier B.V.", "title" : "Yield gaps in oil palm : A quantitative review of contributing factors", "type" : "article-journal", "volume" : "83" }, "uris" : [ "http://www.mendeley.com/documents/?uuid=66e96253-c07d-4ea5-92c0-c38f8752ea96" ] } ], "mendeley" : { "formattedCitation" : "(Woittiez et al., 2017)", "manualFormatting" : "(Woittiez et al., 2017)", "plainTextFormattedCitation" : "(Woittiez et al., 2017)", "previouslyFormattedCitation" : "(Woittiez et al., 2017)" }, "properties" : {  }, "schema" : "https://github.com/citation-style-language/schema/raw/master/csl-citation.json" }</w:instrText>
      </w:r>
      <w:r w:rsidRPr="00C30788">
        <w:rPr>
          <w:sz w:val="22"/>
          <w:szCs w:val="22"/>
        </w:rPr>
        <w:fldChar w:fldCharType="separate"/>
      </w:r>
      <w:r w:rsidRPr="00C30788">
        <w:rPr>
          <w:sz w:val="22"/>
          <w:szCs w:val="22"/>
        </w:rPr>
        <w:t xml:space="preserve">(Woittiez </w:t>
      </w:r>
      <w:r w:rsidRPr="00C30788">
        <w:rPr>
          <w:i/>
          <w:sz w:val="22"/>
          <w:szCs w:val="22"/>
        </w:rPr>
        <w:t>et al</w:t>
      </w:r>
      <w:r w:rsidRPr="00C30788">
        <w:rPr>
          <w:sz w:val="22"/>
          <w:szCs w:val="22"/>
        </w:rPr>
        <w:t>., 2017)</w:t>
      </w:r>
      <w:r w:rsidRPr="00C30788">
        <w:rPr>
          <w:sz w:val="22"/>
          <w:szCs w:val="22"/>
        </w:rPr>
        <w:fldChar w:fldCharType="end"/>
      </w:r>
      <w:r w:rsidRPr="00C30788">
        <w:rPr>
          <w:sz w:val="22"/>
          <w:szCs w:val="22"/>
        </w:rPr>
        <w:t>.</w:t>
      </w:r>
    </w:p>
    <w:p w:rsidR="00A57899" w:rsidRPr="00C30788" w:rsidRDefault="00A57899" w:rsidP="00A57899">
      <w:pPr>
        <w:ind w:firstLine="720"/>
        <w:jc w:val="both"/>
        <w:rPr>
          <w:sz w:val="22"/>
          <w:szCs w:val="22"/>
        </w:rPr>
      </w:pPr>
      <w:r w:rsidRPr="00C30788">
        <w:rPr>
          <w:sz w:val="22"/>
          <w:szCs w:val="22"/>
        </w:rPr>
        <w:t xml:space="preserve">Sebagai negara penghasil minyak sawit nomor satu di dunia, Indonesia masih kalah produktif dari negara lain. Selama ini Indonesia hanya mengandalkan luas areal untuk meningkatkan produksi. Berdasarkan data dari rata-rata produktivitas minyak sawit tandan buah segar (TBS) menginformasikan, Guatemala ada pada peringkat pertama dengan tingkat produktivitas mencapai 21,17 ton / ha, diikuti oleh Malaysia yang mencapai 21,06 ton / ha, Nikagura mencapai 20,68 ton / ha, Kolombia 19,89 ton / ha, Kamerun 19,14 ton / ha, Thailand 18,37 ton / ha, dan Indonesia 16,99 ton / ha. Menurut Corley </w:t>
      </w:r>
      <w:r w:rsidRPr="00C30788">
        <w:rPr>
          <w:i/>
          <w:sz w:val="22"/>
          <w:szCs w:val="22"/>
        </w:rPr>
        <w:t>dalam</w:t>
      </w:r>
      <w:r w:rsidRPr="00C30788">
        <w:rPr>
          <w:sz w:val="22"/>
          <w:szCs w:val="22"/>
        </w:rPr>
        <w:t xml:space="preserve"> </w:t>
      </w:r>
      <w:r w:rsidRPr="00C30788">
        <w:rPr>
          <w:sz w:val="22"/>
          <w:szCs w:val="22"/>
        </w:rPr>
        <w:fldChar w:fldCharType="begin" w:fldLock="1"/>
      </w:r>
      <w:r w:rsidRPr="00C30788">
        <w:rPr>
          <w:sz w:val="22"/>
          <w:szCs w:val="22"/>
        </w:rPr>
        <w:instrText>ADDIN CSL_CITATION { "citationItems" : [ { "id" : "ITEM-1", "itemData" : { "abstract" : "Produktivitas kelapa sawit rakyat di Provinsi Lampung masih relatif rendah dibanding potensi produktivitas optimal. Berkenaan dengan hal itu, dari bulan Februari sampai dengan September 2012 dilakukan kajian dengan tujuan mengidentifikasi karakteristik agroekologi dan teknis pengelolaan kebun kelapa sawit rakyat yang berpeluang diperbaiki agar produktivitas kebun kelapa sawit rakyat meningkat. Kebun kelapa sawit rakyat yang diidentifikasi dipilih secara acak di tujuh kabupaten di Provinsi Lampung. Pengumpulan data dilakukan melalui survei dan wawancara petani. Rata-rata produksi tandan buah segar (TBS) kebun kelapa sawit rakyat di Lampung masih rendah (15 ton/hektar/tahun). Produksi ini berpeluang ditingkatkan melalui penerapan teknologi yang dapat mengatasi sifat-sifat agroekologi sebagai faktor pembatas pertumbuhan dan produksi kelapa sawit, seperti ketersediaan air, retensi hara, dan bahaya erosi. Teknologi yang dibutuhkan untuk mengatasi kendala tersebut antara lain membangun irigasi suplemen, meningkatkan kemampuan tanah dalam menyimpan air, memperbanyak penggunaan bahan organik dan kapur, serta mengaplikasikan teknologi konservasi tanah dan air. Produktivitas kebun kelapa sawit rakyat akan berpeluang meningkat seiring dengan bertambahnya umur tanaman, serta meningkatnya penggunaan pupuk organik untuk tanaman yang telah menghasilkan (TM) dan pupuk NPK untuk tanaman belum menghasilkan (TBM). Pembinaan petani perlu diintensifkan untuk meningkatkan kesadaran petani akan pentingnya memupuk TBM. Hasil analisis mengindikasikan bahwa pemupukan NPK untuk TBM berkorelasi positif dengan produktivitas kelapa sawit. Kata", "author" : [ { "dropping-particle" : "", "family" : "Hafif", "given" : "Bariot", "non-dropping-particle" : "", "parse-names" : false, "suffix" : "" }, { "dropping-particle" : "", "family" : "Ernawati", "given" : "Rr", "non-dropping-particle" : "", "parse-names" : false, "suffix" : "" }, { "dropping-particle" : "", "family" : "Pujiarti", "given" : "Yulia", "non-dropping-particle" : "", "parse-names" : false, "suffix" : "" } ], "container-title" : "Jurnal Penelitian Tanaman Industri", "id" : "ITEM-1", "issue" : "2", "issued" : { "date-parts" : [ [ "2014" ] ] }, "page" : "100-108", "title" : "Peluang Peningkatan produktivitas kelapa sawit rakyat di Provinsi Lampung", "type" : "article-journal", "volume" : "20" }, "uris" : [ "http://www.mendeley.com/documents/?uuid=b5fb52b8-35c4-46a3-8d8b-d3732bcb91c6" ] } ], "mendeley" : { "formattedCitation" : "(Hafif, Ernawati, &amp; Pujiarti, 2014)", "manualFormatting" : "Hafif et al., (2014)", "plainTextFormattedCitation" : "(Hafif, Ernawati, &amp; Pujiarti, 2014)", "previouslyFormattedCitation" : "(Hafif, Ernawati, &amp; Pujiarti, 2014)" }, "properties" : {  }, "schema" : "https://github.com/citation-style-language/schema/raw/master/csl-citation.json" }</w:instrText>
      </w:r>
      <w:r w:rsidRPr="00C30788">
        <w:rPr>
          <w:sz w:val="22"/>
          <w:szCs w:val="22"/>
        </w:rPr>
        <w:fldChar w:fldCharType="separate"/>
      </w:r>
      <w:r w:rsidRPr="00C30788">
        <w:rPr>
          <w:sz w:val="22"/>
          <w:szCs w:val="22"/>
        </w:rPr>
        <w:t>Hafif et al., (2014)</w:t>
      </w:r>
      <w:r w:rsidRPr="00C30788">
        <w:rPr>
          <w:sz w:val="22"/>
          <w:szCs w:val="22"/>
        </w:rPr>
        <w:fldChar w:fldCharType="end"/>
      </w:r>
      <w:r w:rsidRPr="00C30788">
        <w:rPr>
          <w:sz w:val="22"/>
          <w:szCs w:val="22"/>
        </w:rPr>
        <w:t xml:space="preserve"> bahwa produktivitas yang relatif rendah tersebut masih jauh di bawah produksi optimal yang bisa dicapai, yaitu 30 ton TBS/ha/tahun. Sementara dalam bentuk CPO, rata-rata produktivitas perkebunan kelapa sawit di Indonesia adalah 3-4 ton / ha, yang juga masih jauh dari potensi hasil yang dapat mencapai 8,6 ton / ha </w:t>
      </w:r>
      <w:r w:rsidRPr="00C30788">
        <w:rPr>
          <w:sz w:val="22"/>
          <w:szCs w:val="22"/>
        </w:rPr>
        <w:fldChar w:fldCharType="begin" w:fldLock="1"/>
      </w:r>
      <w:r w:rsidRPr="00C30788">
        <w:rPr>
          <w:sz w:val="22"/>
          <w:szCs w:val="22"/>
        </w:rPr>
        <w:instrText>ADDIN CSL_CITATION { "citationItems" : [ { "id" : "ITEM-1", "itemData" : { "abstract" : "Indonesian government within the framework of the Master Plan for the Acceleration and Expansion of Indonesian Economic Development (MP3EI) have established oil palm as the main commodity to be developed in the so-called corridor of Kalimantan. This is mainly due to the commodity role as Indonesia's main export commodities as well as the tipping point of regional economic development in ensuring the welfare of local farmers in a sustainable manner. West Kalimantan is one of the centers of the development of oil palm in Kalimantan, after Central Kalimantan. This study aimed to analyze the role of the superior technology and use of production inputs to improve the productivity of oil palm and the factors that influence the adoption of new technologies at the farm level. Results of decomposition analysis of productivity showed that the use of superior technology (characteristic of the superior technology, improvement of production management and input use as directed) caused the productivity of oil palm plantations increased by 45.59%. The role of the difference in the applied technology is 22.62% and 22.97% came from the difference in input use. Quality of seeds available/planted by farmers contributed significantly to the level of productivity. Adequate provision of improved seed policies must be the top priority in efforts to improve the productivity of oil palm in the future. The policy needs to be accompanied by quality control and distribution of improved seed is strictly and continuously. The next priority policies should be aimed at encouraging farmers to use production inputs as recommended . In order for the policy to be effective, it needs to be supported by the trading system improvements to ensure the feasibility of palm oil prices at the farm level.", "author" : [ { "dropping-particle" : "", "family" : "Ardana", "given" : "I Ketut", "non-dropping-particle" : "", "parse-names" : false, "suffix" : "" }, { "dropping-particle" : "", "family" : "Kariyasa", "given" : "Ketut", "non-dropping-particle" : "", "parse-names" : false, "suffix" : "" } ], "container-title" : "Jurnal Penelitian Tanaman Industri", "id" : "ITEM-1", "issue" : "3", "issued" : { "date-parts" : [ [ "2016" ] ] }, "page" : "125-134", "title" : "Influence of Technological Innovation and Use of Production Input on Productivity of Oil Palm in West Kalimantan Province", "type" : "article-journal", "volume" : "22" }, "uris" : [ "http://www.mendeley.com/documents/?uuid=cd395432-f201-400a-b863-dced0672a21d" ] } ], "mendeley" : { "formattedCitation" : "(Ardana &amp; Kariyasa, 2016)", "plainTextFormattedCitation" : "(Ardana &amp; Kariyasa, 2016)", "previouslyFormattedCitation" : "(Ardana &amp; Kariyasa, 2016)" }, "properties" : {  }, "schema" : "https://github.com/citation-style-language/schema/raw/master/csl-citation.json" }</w:instrText>
      </w:r>
      <w:r w:rsidRPr="00C30788">
        <w:rPr>
          <w:sz w:val="22"/>
          <w:szCs w:val="22"/>
        </w:rPr>
        <w:fldChar w:fldCharType="separate"/>
      </w:r>
      <w:r w:rsidRPr="00C30788">
        <w:rPr>
          <w:sz w:val="22"/>
          <w:szCs w:val="22"/>
        </w:rPr>
        <w:t>(Ardana &amp; Kariyasa, 2016)</w:t>
      </w:r>
      <w:r w:rsidRPr="00C30788">
        <w:rPr>
          <w:sz w:val="22"/>
          <w:szCs w:val="22"/>
        </w:rPr>
        <w:fldChar w:fldCharType="end"/>
      </w:r>
      <w:r w:rsidRPr="00C30788">
        <w:rPr>
          <w:sz w:val="22"/>
          <w:szCs w:val="22"/>
        </w:rPr>
        <w:t xml:space="preserve">. </w:t>
      </w:r>
    </w:p>
    <w:p w:rsidR="00A57899" w:rsidRPr="00C30788" w:rsidRDefault="00A57899" w:rsidP="00A57899">
      <w:pPr>
        <w:ind w:firstLine="720"/>
        <w:jc w:val="both"/>
        <w:rPr>
          <w:sz w:val="22"/>
          <w:szCs w:val="22"/>
        </w:rPr>
      </w:pPr>
      <w:r w:rsidRPr="00C30788">
        <w:rPr>
          <w:sz w:val="22"/>
          <w:szCs w:val="22"/>
        </w:rPr>
        <w:t xml:space="preserve">Namun Indonesia tidak lagi dapat bergantung pada peningkatan luas areal untuk meningkatakan produksi. Sebab, Presiden Indonesia Joko Widodo telah merencanakan untuk menyampaikan rencana moratorium membatasi pemberian izin baru untuk perluasan perkebunan kelapa sawit dan tambang untuk meminimalkan tingkat perusakan hutan dan lahan serta untuk mempromosikan pelestarian lingkungan </w:t>
      </w:r>
      <w:r w:rsidRPr="00C30788">
        <w:rPr>
          <w:sz w:val="22"/>
          <w:szCs w:val="22"/>
        </w:rPr>
        <w:fldChar w:fldCharType="begin" w:fldLock="1"/>
      </w:r>
      <w:r w:rsidRPr="00C30788">
        <w:rPr>
          <w:sz w:val="22"/>
          <w:szCs w:val="22"/>
        </w:rPr>
        <w:instrText>ADDIN CSL_CITATION { "citationItems" : [ { "id" : "ITEM-1", "itemData" : { "DOI" : "10.1016/j.forpol.2017.12.014", "ISSN" : "1389-9341", "abstract" : "United Nations' Sustainable Development Goals (SDGs) aim to protect the planet and ensure prosperity. In reaching SDGs, Indonesia's palm oil industry represents a solution for the economy but a problem for en- vironment-related goals. Palm oil is a tremendous land-based commodity that supports the subnational and national economies of Indonesia. With 11.4 million ha of plantations, palm oil has contributed USD 20.75 billion in 2015 to Indonesia's export income. However, fire has been involved in the development and replanting of palm oil plantations. Smoke haze from fires harm the economy, the environment, and the health of millions of people. The research took a normative approach to understand whether the current palm oil value chain gov- ernance comply with the principle of good governance. The focus was on analyzing options to improve the current governance towards good governance, which is able to reduce fire uses. We reviewed previous in- vestigations, and carried out focus group discussions, field interviews, and value chain analysis. We found that the palm oil economy distributed enormous value added to those participating in the chain. However, the fire uses in land preparation can be altered by using coercion, dis(incentives) and dominant information that held by district and central governments, growers and mil. The potential benefits from green products, a strengthened growers' association, moving up scenarios can be used to compensate the \u2018benefits\u2019 of using fire. Lessons learnt from the palm oil commodity chain in Indonesia, when the economy and the environment are contested, can be used by other countries to reach towards their SDGs.", "author" : [ { "dropping-particle" : "", "family" : "Purnomo", "given" : "Herry", "non-dropping-particle" : "", "parse-names" : false, "suffix" : "" }, { "dropping-particle" : "", "family" : "Okarda", "given" : "Beni", "non-dropping-particle" : "", "parse-names" : false, "suffix" : "" }, { "dropping-particle" : "", "family" : "Ayu", "given" : "Ade", "non-dropping-particle" : "", "parse-names" : false, "suffix" : "" }, { "dropping-particle" : "", "family" : "Ali", "given" : "Made", "non-dropping-particle" : "", "parse-names" : false, "suffix" : "" }, { "dropping-particle" : "", "family" : "Achdiawan", "given" : "Ramadhani", "non-dropping-particle" : "", "parse-names" : false, "suffix" : "" }, { "dropping-particle" : "", "family" : "Kartodihardjo", "given" : "Hariadi", "non-dropping-particle" : "", "parse-names" : false, "suffix" : "" }, { "dropping-particle" : "", "family" : "Pacheco", "given" : "Pablo", "non-dropping-particle" : "", "parse-names" : false, "suffix" : "" }, { "dropping-particle" : "", "family" : "Juniwaty", "given" : "Kartika S", "non-dropping-particle" : "", "parse-names" : false, "suffix" : "" } ], "container-title" : "Forest Policy and Economic Journal", "id" : "ITEM-1", "issued" : { "date-parts" : [ [ "2018" ] ] }, "page" : "94-106", "publisher" : "Elsevier", "title" : "Reducing Forest and Land Fires Through Good Palm Oil Value Chain", "type" : "article-journal", "volume" : "91" }, "uris" : [ "http://www.mendeley.com/documents/?uuid=0fe289d6-6327-47b2-86be-5238f5f1193d" ] } ], "mendeley" : { "formattedCitation" : "(Purnomo et al., 2018)", "plainTextFormattedCitation" : "(Purnomo et al., 2018)", "previouslyFormattedCitation" : "(Purnomo et al., 2018)" }, "properties" : {  }, "schema" : "https://github.com/citation-style-language/schema/raw/master/csl-citation.json" }</w:instrText>
      </w:r>
      <w:r w:rsidRPr="00C30788">
        <w:rPr>
          <w:sz w:val="22"/>
          <w:szCs w:val="22"/>
        </w:rPr>
        <w:fldChar w:fldCharType="separate"/>
      </w:r>
      <w:r w:rsidRPr="00C30788">
        <w:rPr>
          <w:sz w:val="22"/>
          <w:szCs w:val="22"/>
        </w:rPr>
        <w:t>(Purnomo et al., 2018)</w:t>
      </w:r>
      <w:r w:rsidRPr="00C30788">
        <w:rPr>
          <w:sz w:val="22"/>
          <w:szCs w:val="22"/>
        </w:rPr>
        <w:fldChar w:fldCharType="end"/>
      </w:r>
      <w:r w:rsidRPr="00C30788">
        <w:rPr>
          <w:sz w:val="22"/>
          <w:szCs w:val="22"/>
        </w:rPr>
        <w:t xml:space="preserve">. Oleh sebab itu, perusahaan serta petani kelapa sawit harus dapat mengoptimalkan penggunaan faktor-faktor yang mempengaruhi produksi TBS kelapa sawit untuk dapat menjaga serta meningkatkan produksi TBS kelapa sawit. Produktifitas kelapa ditentukan oleh dua faktor utama yang saling terkait, yakni, penerapan teknis budaya dan kesesuaian lahannya </w:t>
      </w:r>
      <w:r w:rsidRPr="00C30788">
        <w:rPr>
          <w:sz w:val="22"/>
          <w:szCs w:val="22"/>
        </w:rPr>
        <w:fldChar w:fldCharType="begin" w:fldLock="1"/>
      </w:r>
      <w:r w:rsidRPr="00C30788">
        <w:rPr>
          <w:sz w:val="22"/>
          <w:szCs w:val="22"/>
        </w:rPr>
        <w:instrText>ADDIN CSL_CITATION { "citationItems" : [ { "id" : "ITEM-1", "itemData" : { "abstract" : "Plant productivity is determined by two main interrelated factors, namely, the application of technical culture factor, including the use of superior plant materials, and soil suitability factor. Therefore, it was necessary to conduct a research that aimed at finding out the actual productivity of oil palm plantations cultivated and properness of the application of technical culture carried out, and relationship between the application of technical culture and productivity achieved at the level of land suitability of the cultivated land. The study was conducted by taking samples from five oil palm plantations in East Kalimantan with a total area of 85,000 ha \u00b1. The research used primary and secondary data related to the aspects of production, technical culture and land suitability. The secondary data were collected through studies on the enterprises\u2019 reports and research results whereas the primary data were collected by direct observation and measurement of the fields, and then the data were analyzed using statistical analysis. The results showed that the productivity of FFB and CPO produced by the oil palm enterprises in the area of research is still low when compared to the potential baseline of productivity of land with the same suitability classification (S3 or Marginally Suitable) where the FFB productivity reached 78.96% and CPO productivity reached 76.63% of the potential baseline of the productivity of S3 Land Suitability Classification (LSC). The low level of productivity is thought to be caused by the level of application of technical culture which has not met the baseline of the recommended standards of technical culture where the technical culture application errors occurred ranged from 0.05 to 7.58%, and the estimated effect toward the decline in production reached up to 65%. The technical culture application errors occurred in the nursery stage, immature plants (TBM) and mature plants (TM).", "author" : [ { "dropping-particle" : "", "family" : "Anwar", "given" : "Rusli", "non-dropping-particle" : "", "parse-names" : false, "suffix" : "" }, { "dropping-particle" : "", "family" : "Sitorus", "given" : "Santun R P", "non-dropping-particle" : "", "parse-names" : false, "suffix" : "" }, { "dropping-particle" : "", "family" : "Fauzi", "given" : "Anas Miftah", "non-dropping-particle" : "", "parse-names" : false, "suffix" : "" }, { "dropping-particle" : "", "family" : "Widiatmaka", "given" : "", "non-dropping-particle" : "", "parse-names" : false, "suffix" : "" }, { "dropping-particle" : "", "family" : "Machfud", "given" : "", "non-dropping-particle" : "", "parse-names" : false, "suffix" : "" } ], "container-title" : "International Journal of Latest Research in Science and Technology", "id" : "ITEM-1", "issue" : "2", "issued" : { "date-parts" : [ [ "2014" ] ] }, "page" : "19-24", "title" : "Technical Culture and Productivity of Oil Palm in Several Plantations in East Kalimantan", "type" : "article-journal", "volume" : "3" }, "uris" : [ "http://www.mendeley.com/documents/?uuid=26b41dbe-c825-4e85-8968-50052e77b239" ] } ], "mendeley" : { "formattedCitation" : "(Anwar, Sitorus, Fauzi, Widiatmaka, &amp; Machfud, 2014)", "manualFormatting" : "(Anwar et al., 2014)", "plainTextFormattedCitation" : "(Anwar, Sitorus, Fauzi, Widiatmaka, &amp; Machfud, 2014)", "previouslyFormattedCitation" : "(Anwar, Sitorus, Fauzi, Widiatmaka, &amp; Machfud, 2014)" }, "properties" : {  }, "schema" : "https://github.com/citation-style-language/schema/raw/master/csl-citation.json" }</w:instrText>
      </w:r>
      <w:r w:rsidRPr="00C30788">
        <w:rPr>
          <w:sz w:val="22"/>
          <w:szCs w:val="22"/>
        </w:rPr>
        <w:fldChar w:fldCharType="separate"/>
      </w:r>
      <w:r w:rsidRPr="00C30788">
        <w:rPr>
          <w:sz w:val="22"/>
          <w:szCs w:val="22"/>
        </w:rPr>
        <w:t>(Anwar et al., 2014)</w:t>
      </w:r>
      <w:r w:rsidRPr="00C30788">
        <w:rPr>
          <w:sz w:val="22"/>
          <w:szCs w:val="22"/>
        </w:rPr>
        <w:fldChar w:fldCharType="end"/>
      </w:r>
      <w:r w:rsidRPr="00C30788">
        <w:rPr>
          <w:sz w:val="22"/>
          <w:szCs w:val="22"/>
        </w:rPr>
        <w:t xml:space="preserve">. Menurut </w:t>
      </w:r>
      <w:r w:rsidRPr="00C30788">
        <w:rPr>
          <w:sz w:val="22"/>
          <w:szCs w:val="22"/>
        </w:rPr>
        <w:fldChar w:fldCharType="begin" w:fldLock="1"/>
      </w:r>
      <w:r w:rsidRPr="00C30788">
        <w:rPr>
          <w:sz w:val="22"/>
          <w:szCs w:val="22"/>
        </w:rPr>
        <w:instrText>ADDIN CSL_CITATION { "citationItems" : [ { "id" : "ITEM-1", "itemData" : { "abstract" : "This study aims to determine the growth and production response of eight oil palm varities to fertilizer of N, P, K, Mg and B. This research was conducted from January and December 2015 in Sitiung experimental Garden West Sumatra province. The was conducted in the form factrorial experiment using randomized block design . The first factor is the eight oil palm varieties, which consists TS1, TS3, LTC, SMB, PPKS 540 (540), Dumpy, DMP and DMK. The second factor is the comnination of dosage of fertilizer per palm, which consist of 1) 500 g urea + 200 g SP 36 + 750 g KCl + 500 g Kieserit + 50 g of borax, 2) 750 g of urea +1000 g SP 36 +750 g KCl + 500 g Kieserit + 50 g of borax, 3) 1400 g urea + 950 g SP 36 + 1150 g KCl + 350 g Kieserit + 60 g borax, 4) 1 500 g urea + 1000 g SP 36 + 1750 g KCl + 1500 g Kieserit, 5) 1000 g of urea + 800 g SP36 + 1500 g KCl + 700 g Kieserit + 55 g of borax and 6) 500 g urea + 400 g SP36 + 750 g KCl + 350 g Kieserit + 27.5 g borax. The results showed that the growth and produstion respon of oil palm to fertilizer different according variety. Dumpy variety produce most weight fresh fruit namely 4.35 kg on comination of fertilization dosage 1500 g urea + 1000 g SP 36 + 1750 g KCl + 1500 g kieserite. TS3 variety produce most number of leave ( 43.43 leaves/palm) on combination of fertilizer dosage 500 g urea + 400 g SP36 + 750 g KCl + 350 g kieserit + 27,5 g boraks.", "author" : [ { "dropping-particle" : "", "family" : "Matana", "given" : "Yulianus R.", "non-dropping-particle" : "", "parse-names" : false, "suffix" : "" }, { "dropping-particle" : "", "family" : "Mashud", "given" : "Nurhaini", "non-dropping-particle" : "", "parse-names" : false, "suffix" : "" } ], "container-title" : "Buletin Palma", "id" : "ITEM-1", "issue" : "2", "issued" : { "date-parts" : [ [ "2016" ] ] }, "page" : "105-113", "title" : "Response Growth and Yield of Eight Varieties Oilpalm TM to N , P , K , Mg , and B Fertilizer", "type" : "article-journal", "volume" : "17" }, "uris" : [ "http://www.mendeley.com/documents/?uuid=89c392d6-0502-41e0-a18e-1b18111090b3" ] } ], "mendeley" : { "formattedCitation" : "(Matana &amp; Mashud, 2016)", "manualFormatting" : "Poeloeng et al dalam Matana &amp; Mashud (2016)", "plainTextFormattedCitation" : "(Matana &amp; Mashud, 2016)", "previouslyFormattedCitation" : "(Matana &amp; Mashud, 2016)" }, "properties" : {  }, "schema" : "https://github.com/citation-style-language/schema/raw/master/csl-citation.json" }</w:instrText>
      </w:r>
      <w:r w:rsidRPr="00C30788">
        <w:rPr>
          <w:sz w:val="22"/>
          <w:szCs w:val="22"/>
        </w:rPr>
        <w:fldChar w:fldCharType="separate"/>
      </w:r>
      <w:r w:rsidRPr="00C30788">
        <w:rPr>
          <w:sz w:val="22"/>
          <w:szCs w:val="22"/>
        </w:rPr>
        <w:t xml:space="preserve">Poeloeng et al </w:t>
      </w:r>
      <w:r w:rsidRPr="00C30788">
        <w:rPr>
          <w:i/>
          <w:sz w:val="22"/>
          <w:szCs w:val="22"/>
        </w:rPr>
        <w:t xml:space="preserve">dalam </w:t>
      </w:r>
      <w:r w:rsidRPr="00C30788">
        <w:rPr>
          <w:sz w:val="22"/>
          <w:szCs w:val="22"/>
        </w:rPr>
        <w:t>Matana &amp; Mashud (2016)</w:t>
      </w:r>
      <w:r w:rsidRPr="00C30788">
        <w:rPr>
          <w:sz w:val="22"/>
          <w:szCs w:val="22"/>
        </w:rPr>
        <w:fldChar w:fldCharType="end"/>
      </w:r>
      <w:r w:rsidRPr="00C30788">
        <w:rPr>
          <w:sz w:val="22"/>
          <w:szCs w:val="22"/>
        </w:rPr>
        <w:t>, penggunaan bahan penanaman adalah salah satu cara yang dapat digunakan untuk memaksimalkan produksi karena untuk menghasilkan 1 ton tandan buah segar (TBS), dibutuhkan 6.3 kg 2.1 kg urea, TSP, 7.3 MOP, dan 4.9 kg Kiserit.</w:t>
      </w:r>
    </w:p>
    <w:p w:rsidR="00A57899" w:rsidRPr="00C30788" w:rsidRDefault="00A57899" w:rsidP="00A57899">
      <w:pPr>
        <w:ind w:firstLine="720"/>
        <w:jc w:val="both"/>
        <w:rPr>
          <w:sz w:val="22"/>
          <w:szCs w:val="22"/>
        </w:rPr>
      </w:pPr>
      <w:r w:rsidRPr="00C30788">
        <w:rPr>
          <w:sz w:val="22"/>
          <w:szCs w:val="22"/>
        </w:rPr>
        <w:t xml:space="preserve">Penelitian ini bertujuan untuk menganalisis faktor-faktor yang mempengaruhi ptoduksi TBS kelapa sawit di kebun Bangun Bandar, PT. Socfin Indonesia dan mengetahui pengaruh kebijakan pengurangan mandor atau pengawas panen terhadap kehilangan produksi. Sebab menurut </w:t>
      </w:r>
      <w:r w:rsidRPr="00C30788">
        <w:rPr>
          <w:sz w:val="22"/>
          <w:szCs w:val="22"/>
        </w:rPr>
        <w:fldChar w:fldCharType="begin" w:fldLock="1"/>
      </w:r>
      <w:r w:rsidRPr="00C30788">
        <w:rPr>
          <w:sz w:val="22"/>
          <w:szCs w:val="22"/>
        </w:rPr>
        <w:instrText>ADDIN CSL_CITATION { "citationItems" : [ { "id" : "ITEM-1", "itemData" : { "abstract" : "The purpose of this research is to know the result of large production loss, to analyze the probability and impacts of lost production at post harvest process of the fresh fruit bunches (FFB) paml oil from on land until to palm oil factory (POF). Research was done by survey at Pagaruyung Village. Data were collected from 30 small-holders palm oil farmers using purposive sampling. Analysis of the results obtained shows that the loss of production the fresh fruit bunches (FFB) palm oil in post harvest process as 4,91 percent/2ha/month, that loss of production at land as 0.93 percent, at TPH ( FFB raw ) as 0.36 percent, at TPH (FFB) as 0.36 percent and at palm oil factory (Sorting plant process) as 2.93 percent. Probability of the loss production at land as 25.18 percent, at TPH (FFB raw and FFB) as 23.18 percent and 23.24 percent, at palm oil factory (sorting plant process) as 18.79 percent. The impact of the losses arising from the loss of post-harvest TBS is Rp 190.137,97/2ha/month and if combined for one year will reach Rp 2.281.655,60.", "author" : [ { "dropping-particle" : "", "family" : "Andaya", "given" : "Olgi", "non-dropping-particle" : "", "parse-names" : false, "suffix" : "" }, { "dropping-particle" : "", "family" : "Hadi", "given" : "Syaiful", "non-dropping-particle" : "", "parse-names" : false, "suffix" : "" }, { "dropping-particle" : "", "family" : "Yusri", "given" : "Jumarti", "non-dropping-particle" : "", "parse-names" : false, "suffix" : "" } ], "container-title" : "Jurnal Online Mahasiswa Faperta UR", "id" : "ITEM-1", "issue" : "1", "issued" : { "date-parts" : [ [ "2017" ] ] }, "page" : "1-11", "title" : "Analysis The Risk Palm Oil Fresh Fruit Bunches (FFB) Post Harvest of The Core Estate Smallholders (CES) in Pagaruyung Village of Tapung Subdistrict Kampar Regency", "type" : "article-journal", "volume" : "4" }, "uris" : [ "http://www.mendeley.com/documents/?uuid=5c55f50b-8aae-4330-8fc3-994e2188e990" ] } ], "mendeley" : { "formattedCitation" : "(Andaya, Hadi, &amp; Yusri, 2017)", "manualFormatting" : "Andaya et al., (2017)", "plainTextFormattedCitation" : "(Andaya, Hadi, &amp; Yusri, 2017)", "previouslyFormattedCitation" : "(Andaya, Hadi, &amp; Yusri, 2017)" }, "properties" : {  }, "schema" : "https://github.com/citation-style-language/schema/raw/master/csl-citation.json" }</w:instrText>
      </w:r>
      <w:r w:rsidRPr="00C30788">
        <w:rPr>
          <w:sz w:val="22"/>
          <w:szCs w:val="22"/>
        </w:rPr>
        <w:fldChar w:fldCharType="separate"/>
      </w:r>
      <w:r w:rsidRPr="00C30788">
        <w:rPr>
          <w:sz w:val="22"/>
          <w:szCs w:val="22"/>
        </w:rPr>
        <w:t>Andaya et al., (2017)</w:t>
      </w:r>
      <w:r w:rsidRPr="00C30788">
        <w:rPr>
          <w:sz w:val="22"/>
          <w:szCs w:val="22"/>
        </w:rPr>
        <w:fldChar w:fldCharType="end"/>
      </w:r>
      <w:r w:rsidRPr="00C30788">
        <w:rPr>
          <w:sz w:val="22"/>
          <w:szCs w:val="22"/>
        </w:rPr>
        <w:t xml:space="preserve">, kemampuan, ketelitian dan pengetahuan pemanen dalam melakukan kegiatan panen serta melihat kriteria matang panen buah kelapa sawit sangat </w:t>
      </w:r>
      <w:r w:rsidRPr="00C30788">
        <w:rPr>
          <w:sz w:val="22"/>
          <w:szCs w:val="22"/>
        </w:rPr>
        <w:lastRenderedPageBreak/>
        <w:t>menentukan hasil panen. Jika pemanen tidak mengetahui kriteria buah kelapa sawit yang telah matang akan menyebabkan TBS mentah terpanen. Sehingga berdasarkan pernyataan tersebut, penelitian ini juga menganalisis apakah kebijakan yang dilakukan perusahan sudah tepat atau tidak.</w:t>
      </w:r>
    </w:p>
    <w:p w:rsidR="00A57899" w:rsidRDefault="00A57899" w:rsidP="00A57899">
      <w:pPr>
        <w:jc w:val="both"/>
        <w:outlineLvl w:val="0"/>
        <w:rPr>
          <w:b/>
          <w:sz w:val="22"/>
          <w:szCs w:val="22"/>
        </w:rPr>
      </w:pPr>
    </w:p>
    <w:p w:rsidR="00A57899" w:rsidRDefault="00A57899" w:rsidP="00A57899">
      <w:pPr>
        <w:jc w:val="both"/>
        <w:outlineLvl w:val="0"/>
        <w:rPr>
          <w:b/>
          <w:sz w:val="22"/>
          <w:szCs w:val="22"/>
        </w:rPr>
      </w:pPr>
    </w:p>
    <w:p w:rsidR="00A57899" w:rsidRDefault="00A57899" w:rsidP="00A57899">
      <w:pPr>
        <w:jc w:val="center"/>
        <w:outlineLvl w:val="0"/>
        <w:rPr>
          <w:b/>
          <w:sz w:val="22"/>
          <w:szCs w:val="22"/>
        </w:rPr>
      </w:pPr>
      <w:r w:rsidRPr="00C30788">
        <w:rPr>
          <w:b/>
          <w:sz w:val="22"/>
          <w:szCs w:val="22"/>
        </w:rPr>
        <w:t>METODE PENELITIAN</w:t>
      </w:r>
    </w:p>
    <w:p w:rsidR="00A57899" w:rsidRPr="00C30788" w:rsidRDefault="00A57899" w:rsidP="00A57899">
      <w:pPr>
        <w:jc w:val="center"/>
        <w:outlineLvl w:val="0"/>
        <w:rPr>
          <w:b/>
          <w:sz w:val="22"/>
          <w:szCs w:val="22"/>
        </w:rPr>
      </w:pPr>
    </w:p>
    <w:p w:rsidR="00A57899" w:rsidRPr="00C30788" w:rsidRDefault="00A57899" w:rsidP="00A57899">
      <w:pPr>
        <w:ind w:firstLine="720"/>
        <w:jc w:val="both"/>
        <w:rPr>
          <w:sz w:val="22"/>
          <w:szCs w:val="22"/>
        </w:rPr>
      </w:pPr>
      <w:r w:rsidRPr="00C30788">
        <w:rPr>
          <w:sz w:val="22"/>
          <w:szCs w:val="22"/>
        </w:rPr>
        <w:t>Penelitian ini dilakukan pada 1-30 November 2017 di perkebunan kelapa sawit Bangun Bandar yang terletak di Kecamatan Dolok Masihul, Kabupaten Serdang Bedagai, Provinsi Sumatera Utara. Perkebunan Bangun Bandar adalah salah satu perkebunan kelapa sawit yang dimiliki oleh PT. Socfin Indonesia (PT. Socfindo). Perkebunan Bangun Bandar dipilih sebagai tempat untuk penelitian karena ada pertimbangan-pertimbangan tertentu dari peneliti. Perkebunan Bangun Bandar dipilih sebagai tempat penelitian karena kebun Bangun Bandar memiliki fasilitas yang lengkap untuk mendukung kelengkapan data penelitian. Perkebunan Bangun Bandar memiliki luas lahan 3,335.64 ha yang dibagi menjadi 4 divisi. Selain itu, perkebunan Bangun Bandar juga memiliki pabrik pengolahan kelapa sawit dan Socfindo Seeds Production and Laboratories (SSPL). Pabrik kelapa sawit Bangun Bandar perkebunan memiliki kapasitas maksimum pengolahan 25 ton TBS/jam yang mengelola TBS menjadi CPO dan PKO. SSPL adalah Laboratorium PT. Socfindo, baru saja diresmikan pada tahun 2015. Laboratorium yang bertujuan untuk meningkatkan produksi dan memecahkan masalah-masalah teknis yang ada di kebun.</w:t>
      </w:r>
    </w:p>
    <w:p w:rsidR="00A57899" w:rsidRPr="00C30788" w:rsidRDefault="00A57899" w:rsidP="00A57899">
      <w:pPr>
        <w:ind w:firstLine="720"/>
        <w:jc w:val="both"/>
        <w:rPr>
          <w:sz w:val="22"/>
          <w:szCs w:val="22"/>
        </w:rPr>
      </w:pPr>
      <w:r w:rsidRPr="00C30788">
        <w:rPr>
          <w:sz w:val="22"/>
          <w:szCs w:val="22"/>
        </w:rPr>
        <w:t xml:space="preserve">Penelitian menggunakan data primer sebagai data utama dan sekunder data sebagai data pendukung untuk melengkapi hasil penelitian. Data yang digunakan sebagai data primer adalah data produksi TBS (ton/blok), luas lahan tiap blok (ha/blok), basis panen TBS tiap blok (TBS/blok), umur tanaman (tahun/blok), dan tenaga kerja (HKO/blok) pada tahun 2017. Data penggunaan pupuk yang digunakan adalah data pada tahun 2015. Hal ini karena tanaman sawit memerlukan waktu untuk proses pertumbuhan dan perkembangan vegetatif atau generatif. Selain itu, data primer juga didapat </w:t>
      </w:r>
      <w:r w:rsidRPr="00C30788">
        <w:rPr>
          <w:sz w:val="22"/>
          <w:szCs w:val="22"/>
          <w:lang w:val="en-US"/>
        </w:rPr>
        <w:t>melalui</w:t>
      </w:r>
      <w:r w:rsidRPr="00C30788">
        <w:rPr>
          <w:sz w:val="22"/>
          <w:szCs w:val="22"/>
        </w:rPr>
        <w:t xml:space="preserve"> </w:t>
      </w:r>
      <w:r w:rsidRPr="00C30788">
        <w:rPr>
          <w:sz w:val="22"/>
          <w:szCs w:val="22"/>
          <w:lang w:val="en-US"/>
        </w:rPr>
        <w:t>wawancara</w:t>
      </w:r>
      <w:r w:rsidRPr="00C30788">
        <w:rPr>
          <w:sz w:val="22"/>
          <w:szCs w:val="22"/>
        </w:rPr>
        <w:t xml:space="preserve"> </w:t>
      </w:r>
      <w:r w:rsidRPr="00C30788">
        <w:rPr>
          <w:sz w:val="22"/>
          <w:szCs w:val="22"/>
          <w:lang w:val="en-US"/>
        </w:rPr>
        <w:t>dengan</w:t>
      </w:r>
      <w:r w:rsidRPr="00C30788">
        <w:rPr>
          <w:sz w:val="22"/>
          <w:szCs w:val="22"/>
        </w:rPr>
        <w:t xml:space="preserve"> </w:t>
      </w:r>
      <w:r w:rsidRPr="00C30788">
        <w:rPr>
          <w:sz w:val="22"/>
          <w:szCs w:val="22"/>
          <w:lang w:val="en-US"/>
        </w:rPr>
        <w:t>karyawan, mandor, asisten</w:t>
      </w:r>
      <w:r w:rsidRPr="00C30788">
        <w:rPr>
          <w:sz w:val="22"/>
          <w:szCs w:val="22"/>
        </w:rPr>
        <w:t xml:space="preserve"> </w:t>
      </w:r>
      <w:r w:rsidRPr="00C30788">
        <w:rPr>
          <w:sz w:val="22"/>
          <w:szCs w:val="22"/>
          <w:lang w:val="en-US"/>
        </w:rPr>
        <w:t>lapangan, asisten</w:t>
      </w:r>
      <w:r w:rsidRPr="00C30788">
        <w:rPr>
          <w:sz w:val="22"/>
          <w:szCs w:val="22"/>
        </w:rPr>
        <w:t xml:space="preserve"> </w:t>
      </w:r>
      <w:r w:rsidRPr="00C30788">
        <w:rPr>
          <w:sz w:val="22"/>
          <w:szCs w:val="22"/>
          <w:lang w:val="en-US"/>
        </w:rPr>
        <w:t>kepala, dan</w:t>
      </w:r>
      <w:r w:rsidRPr="00C30788">
        <w:rPr>
          <w:sz w:val="22"/>
          <w:szCs w:val="22"/>
        </w:rPr>
        <w:t xml:space="preserve"> </w:t>
      </w:r>
      <w:r w:rsidRPr="00C30788">
        <w:rPr>
          <w:i/>
          <w:sz w:val="22"/>
          <w:szCs w:val="22"/>
          <w:lang w:val="en-US"/>
        </w:rPr>
        <w:t>Estate</w:t>
      </w:r>
      <w:r w:rsidRPr="00C30788">
        <w:rPr>
          <w:i/>
          <w:sz w:val="22"/>
          <w:szCs w:val="22"/>
        </w:rPr>
        <w:t xml:space="preserve"> </w:t>
      </w:r>
      <w:r w:rsidRPr="00C30788">
        <w:rPr>
          <w:i/>
          <w:sz w:val="22"/>
          <w:szCs w:val="22"/>
          <w:lang w:val="en-US"/>
        </w:rPr>
        <w:t xml:space="preserve">Manager </w:t>
      </w:r>
      <w:r w:rsidRPr="00C30788">
        <w:rPr>
          <w:sz w:val="22"/>
          <w:szCs w:val="22"/>
          <w:lang w:val="en-US"/>
        </w:rPr>
        <w:t>serta</w:t>
      </w:r>
      <w:r w:rsidRPr="00C30788">
        <w:rPr>
          <w:sz w:val="22"/>
          <w:szCs w:val="22"/>
        </w:rPr>
        <w:t xml:space="preserve"> </w:t>
      </w:r>
      <w:r w:rsidRPr="00C30788">
        <w:rPr>
          <w:sz w:val="22"/>
          <w:szCs w:val="22"/>
          <w:lang w:val="en-US"/>
        </w:rPr>
        <w:t>melalui</w:t>
      </w:r>
      <w:r w:rsidRPr="00C30788">
        <w:rPr>
          <w:sz w:val="22"/>
          <w:szCs w:val="22"/>
        </w:rPr>
        <w:t xml:space="preserve"> </w:t>
      </w:r>
      <w:r w:rsidRPr="00C30788">
        <w:rPr>
          <w:sz w:val="22"/>
          <w:szCs w:val="22"/>
          <w:lang w:val="en-US"/>
        </w:rPr>
        <w:t>pengamatan</w:t>
      </w:r>
      <w:r w:rsidRPr="00C30788">
        <w:rPr>
          <w:sz w:val="22"/>
          <w:szCs w:val="22"/>
        </w:rPr>
        <w:t xml:space="preserve"> </w:t>
      </w:r>
      <w:r w:rsidRPr="00C30788">
        <w:rPr>
          <w:sz w:val="22"/>
          <w:szCs w:val="22"/>
          <w:lang w:val="en-US"/>
        </w:rPr>
        <w:t>secara</w:t>
      </w:r>
      <w:r w:rsidRPr="00C30788">
        <w:rPr>
          <w:sz w:val="22"/>
          <w:szCs w:val="22"/>
        </w:rPr>
        <w:t xml:space="preserve"> </w:t>
      </w:r>
      <w:r w:rsidRPr="00C30788">
        <w:rPr>
          <w:sz w:val="22"/>
          <w:szCs w:val="22"/>
          <w:lang w:val="en-US"/>
        </w:rPr>
        <w:t>langsung</w:t>
      </w:r>
      <w:r w:rsidRPr="00C30788">
        <w:rPr>
          <w:sz w:val="22"/>
          <w:szCs w:val="22"/>
        </w:rPr>
        <w:t xml:space="preserve"> </w:t>
      </w:r>
      <w:r w:rsidRPr="00C30788">
        <w:rPr>
          <w:sz w:val="22"/>
          <w:szCs w:val="22"/>
          <w:lang w:val="en-US"/>
        </w:rPr>
        <w:t>untuk</w:t>
      </w:r>
      <w:r w:rsidRPr="00C30788">
        <w:rPr>
          <w:sz w:val="22"/>
          <w:szCs w:val="22"/>
        </w:rPr>
        <w:t xml:space="preserve"> </w:t>
      </w:r>
      <w:r w:rsidRPr="00C30788">
        <w:rPr>
          <w:sz w:val="22"/>
          <w:szCs w:val="22"/>
          <w:lang w:val="en-US"/>
        </w:rPr>
        <w:t>mendapatkan</w:t>
      </w:r>
      <w:r w:rsidRPr="00C30788">
        <w:rPr>
          <w:sz w:val="22"/>
          <w:szCs w:val="22"/>
        </w:rPr>
        <w:t xml:space="preserve"> </w:t>
      </w:r>
      <w:r w:rsidRPr="00C30788">
        <w:rPr>
          <w:sz w:val="22"/>
          <w:szCs w:val="22"/>
          <w:lang w:val="en-US"/>
        </w:rPr>
        <w:t>informasi</w:t>
      </w:r>
      <w:r w:rsidRPr="00C30788">
        <w:rPr>
          <w:sz w:val="22"/>
          <w:szCs w:val="22"/>
        </w:rPr>
        <w:t xml:space="preserve"> </w:t>
      </w:r>
      <w:r w:rsidRPr="00C30788">
        <w:rPr>
          <w:sz w:val="22"/>
          <w:szCs w:val="22"/>
          <w:lang w:val="en-US"/>
        </w:rPr>
        <w:t>tambahan</w:t>
      </w:r>
      <w:r w:rsidRPr="00C30788">
        <w:rPr>
          <w:sz w:val="22"/>
          <w:szCs w:val="22"/>
        </w:rPr>
        <w:t xml:space="preserve">. Berdasarkan waktu pengambilannya, data yang digunakan dalam penelitian ini adalah data </w:t>
      </w:r>
      <w:r w:rsidRPr="00C30788">
        <w:rPr>
          <w:i/>
          <w:sz w:val="22"/>
          <w:szCs w:val="22"/>
        </w:rPr>
        <w:t>cross section</w:t>
      </w:r>
      <w:r w:rsidRPr="00C30788">
        <w:rPr>
          <w:sz w:val="22"/>
          <w:szCs w:val="22"/>
        </w:rPr>
        <w:t xml:space="preserve">. Data </w:t>
      </w:r>
      <w:r w:rsidRPr="00C30788">
        <w:rPr>
          <w:i/>
          <w:sz w:val="22"/>
          <w:szCs w:val="22"/>
        </w:rPr>
        <w:t>cross section</w:t>
      </w:r>
      <w:r w:rsidRPr="00C30788">
        <w:rPr>
          <w:sz w:val="22"/>
          <w:szCs w:val="22"/>
        </w:rPr>
        <w:t xml:space="preserve"> merupakan data yang dikumpulkan dalam kurun waktu tertentu dari sampel </w:t>
      </w:r>
      <w:r w:rsidRPr="00C30788">
        <w:rPr>
          <w:sz w:val="22"/>
          <w:szCs w:val="22"/>
        </w:rPr>
        <w:fldChar w:fldCharType="begin" w:fldLock="1"/>
      </w:r>
      <w:r w:rsidRPr="00C30788">
        <w:rPr>
          <w:sz w:val="22"/>
          <w:szCs w:val="22"/>
        </w:rPr>
        <w:instrText>ADDIN CSL_CITATION { "citationItems" : [ { "id" : "ITEM-1", "itemData" : { "author" : [ { "dropping-particle" : "", "family" : "Widarjono", "given" : "Agus", "non-dropping-particle" : "", "parse-names" : false, "suffix" : "" } ], "edition" : "4", "id" : "ITEM-1", "issued" : { "date-parts" : [ [ "2017" ] ] }, "publisher" : "UPP STIM YKPN", "publisher-place" : "Yogyakarta", "title" : "Ekonometrika - Pengantar dan Aplikasinya Disertai Panduan EViews", "type" : "book" }, "uris" : [ "http://www.mendeley.com/documents/?uuid=7e21fe6d-7c67-49e1-93c0-ffc4d002d13e" ] } ], "mendeley" : { "formattedCitation" : "(Widarjono, 2017)", "plainTextFormattedCitation" : "(Widarjono, 2017)", "previouslyFormattedCitation" : "(Widarjono, 2017)" }, "properties" : {  }, "schema" : "https://github.com/citation-style-language/schema/raw/master/csl-citation.json" }</w:instrText>
      </w:r>
      <w:r w:rsidRPr="00C30788">
        <w:rPr>
          <w:sz w:val="22"/>
          <w:szCs w:val="22"/>
        </w:rPr>
        <w:fldChar w:fldCharType="separate"/>
      </w:r>
      <w:r w:rsidRPr="00C30788">
        <w:rPr>
          <w:sz w:val="22"/>
          <w:szCs w:val="22"/>
        </w:rPr>
        <w:t>(Widarjono, 2017)</w:t>
      </w:r>
      <w:r w:rsidRPr="00C30788">
        <w:rPr>
          <w:sz w:val="22"/>
          <w:szCs w:val="22"/>
        </w:rPr>
        <w:fldChar w:fldCharType="end"/>
      </w:r>
      <w:r w:rsidRPr="00C30788">
        <w:rPr>
          <w:sz w:val="22"/>
          <w:szCs w:val="22"/>
        </w:rPr>
        <w:t xml:space="preserve">. Data </w:t>
      </w:r>
      <w:r w:rsidRPr="00C30788">
        <w:rPr>
          <w:i/>
          <w:sz w:val="22"/>
          <w:szCs w:val="22"/>
        </w:rPr>
        <w:t>cross section</w:t>
      </w:r>
      <w:r w:rsidRPr="00C30788">
        <w:rPr>
          <w:sz w:val="22"/>
          <w:szCs w:val="22"/>
        </w:rPr>
        <w:t xml:space="preserve"> yang digunakan adalah data setiap blok pada perkebunan Bangun Bandar, dengan jumlah blok yang dianalisis sebanyak 58 blok pada 4 divisi.</w:t>
      </w:r>
    </w:p>
    <w:p w:rsidR="00A57899" w:rsidRPr="00C30788" w:rsidRDefault="00A57899" w:rsidP="00A57899">
      <w:pPr>
        <w:ind w:firstLine="720"/>
        <w:jc w:val="both"/>
        <w:rPr>
          <w:sz w:val="22"/>
          <w:szCs w:val="22"/>
        </w:rPr>
      </w:pPr>
      <w:r w:rsidRPr="00C30788">
        <w:rPr>
          <w:sz w:val="22"/>
          <w:szCs w:val="22"/>
        </w:rPr>
        <w:t>Sementara itu untuk pengaruh kebijakan pengurangan mandor</w:t>
      </w:r>
      <w:r>
        <w:rPr>
          <w:sz w:val="22"/>
          <w:szCs w:val="22"/>
        </w:rPr>
        <w:t xml:space="preserve"> </w:t>
      </w:r>
      <w:r w:rsidRPr="00C30788">
        <w:rPr>
          <w:sz w:val="22"/>
          <w:szCs w:val="22"/>
        </w:rPr>
        <w:t xml:space="preserve">data yang digunakan sebagai data primer adalah data jumlah losses buah mentah yang terpanen setiap harinya (janjang/hari) selama 97 sebelum penerapan kebijakan dan 97 hari setelah penerapan kebijakan pengurangan mandor/pengawas. Berdasarkan waktu pengambilannya, data yang digunakan dalam penelitian ini adalah data </w:t>
      </w:r>
      <w:r w:rsidRPr="00C30788">
        <w:rPr>
          <w:i/>
          <w:sz w:val="22"/>
          <w:szCs w:val="22"/>
        </w:rPr>
        <w:t>time series</w:t>
      </w:r>
      <w:r w:rsidRPr="00C30788">
        <w:rPr>
          <w:sz w:val="22"/>
          <w:szCs w:val="22"/>
        </w:rPr>
        <w:t xml:space="preserve">. Data </w:t>
      </w:r>
      <w:r w:rsidRPr="00C30788">
        <w:rPr>
          <w:i/>
          <w:sz w:val="22"/>
          <w:szCs w:val="22"/>
        </w:rPr>
        <w:t>time series</w:t>
      </w:r>
      <w:r w:rsidRPr="00C30788">
        <w:rPr>
          <w:sz w:val="22"/>
          <w:szCs w:val="22"/>
        </w:rPr>
        <w:t xml:space="preserve"> merupakan sekumpulan observasi dalam rentan waktu tertentu yang dikumpulkan dalam interval waktu secara konitnu, misalnya data mingguan, data bulanan, data kuartalan, dan data tahunan</w:t>
      </w:r>
      <w:r>
        <w:rPr>
          <w:sz w:val="22"/>
          <w:szCs w:val="22"/>
        </w:rPr>
        <w:t xml:space="preserve"> </w:t>
      </w:r>
      <w:r w:rsidRPr="00C30788">
        <w:rPr>
          <w:sz w:val="22"/>
          <w:szCs w:val="22"/>
        </w:rPr>
        <w:fldChar w:fldCharType="begin" w:fldLock="1"/>
      </w:r>
      <w:r w:rsidRPr="00C30788">
        <w:rPr>
          <w:sz w:val="22"/>
          <w:szCs w:val="22"/>
        </w:rPr>
        <w:instrText>ADDIN CSL_CITATION { "citationItems" : [ { "id" : "ITEM-1", "itemData" : { "author" : [ { "dropping-particle" : "", "family" : "Widarjono", "given" : "Agus", "non-dropping-particle" : "", "parse-names" : false, "suffix" : "" } ], "edition" : "4", "id" : "ITEM-1", "issued" : { "date-parts" : [ [ "2017" ] ] }, "publisher" : "UPP STIM YKPN", "publisher-place" : "Yogyakarta", "title" : "Ekonometrika - Pengantar dan Aplikasinya Disertai Panduan EViews", "type" : "book" }, "uris" : [ "http://www.mendeley.com/documents/?uuid=7e21fe6d-7c67-49e1-93c0-ffc4d002d13e" ] } ], "mendeley" : { "formattedCitation" : "(Widarjono, 2017)", "plainTextFormattedCitation" : "(Widarjono, 2017)", "previouslyFormattedCitation" : "(Widarjono, 2017)" }, "properties" : {  }, "schema" : "https://github.com/citation-style-language/schema/raw/master/csl-citation.json" }</w:instrText>
      </w:r>
      <w:r w:rsidRPr="00C30788">
        <w:rPr>
          <w:sz w:val="22"/>
          <w:szCs w:val="22"/>
        </w:rPr>
        <w:fldChar w:fldCharType="separate"/>
      </w:r>
      <w:r w:rsidRPr="00C30788">
        <w:rPr>
          <w:sz w:val="22"/>
          <w:szCs w:val="22"/>
        </w:rPr>
        <w:t>(Widarjono, 2017)</w:t>
      </w:r>
      <w:r w:rsidRPr="00C30788">
        <w:rPr>
          <w:sz w:val="22"/>
          <w:szCs w:val="22"/>
        </w:rPr>
        <w:fldChar w:fldCharType="end"/>
      </w:r>
      <w:r w:rsidRPr="00C30788">
        <w:rPr>
          <w:sz w:val="22"/>
          <w:szCs w:val="22"/>
        </w:rPr>
        <w:t xml:space="preserve">. </w:t>
      </w:r>
    </w:p>
    <w:p w:rsidR="00A57899" w:rsidRPr="00C30788" w:rsidRDefault="00A57899" w:rsidP="00A57899">
      <w:pPr>
        <w:ind w:firstLine="709"/>
        <w:jc w:val="both"/>
        <w:rPr>
          <w:sz w:val="22"/>
          <w:szCs w:val="22"/>
        </w:rPr>
      </w:pPr>
      <w:r w:rsidRPr="00C30788">
        <w:rPr>
          <w:sz w:val="22"/>
          <w:szCs w:val="22"/>
        </w:rPr>
        <w:t xml:space="preserve">Penelitian ini menggunakan analisis regresi linier untuk mengetahui faktor-faktor yang mempengaruhi produksi. Sebelum menganalisis data dengan analisis regresi, metode analisis memiliki asumsi tes yang harus dipenuhi.  Tes klasik asumsi adalah persyaratan yang harus dipenuhi dalam analisis regresi didasarkan pada </w:t>
      </w:r>
      <w:r w:rsidRPr="00C30788">
        <w:rPr>
          <w:i/>
          <w:sz w:val="22"/>
          <w:szCs w:val="22"/>
        </w:rPr>
        <w:t>Ordinary Least Square</w:t>
      </w:r>
      <w:r w:rsidRPr="00C30788">
        <w:rPr>
          <w:sz w:val="22"/>
          <w:szCs w:val="22"/>
        </w:rPr>
        <w:t xml:space="preserve"> (OLS). Rumus persamaan yang digunakan antara lain:</w:t>
      </w:r>
    </w:p>
    <w:p w:rsidR="00A57899" w:rsidRPr="00C30788" w:rsidRDefault="00A57899" w:rsidP="00A57899">
      <w:pPr>
        <w:ind w:left="709" w:hanging="709"/>
        <w:jc w:val="center"/>
        <w:rPr>
          <w:sz w:val="22"/>
          <w:szCs w:val="22"/>
        </w:rPr>
      </w:pPr>
      <w:r w:rsidRPr="00C30788">
        <w:rPr>
          <w:sz w:val="22"/>
          <w:szCs w:val="22"/>
        </w:rPr>
        <w:t>Ln Y</w:t>
      </w:r>
      <w:r w:rsidRPr="00C30788">
        <w:rPr>
          <w:sz w:val="22"/>
          <w:szCs w:val="22"/>
          <w:vertAlign w:val="subscript"/>
        </w:rPr>
        <w:t>it</w:t>
      </w:r>
      <w:r w:rsidRPr="00C30788">
        <w:rPr>
          <w:sz w:val="22"/>
          <w:szCs w:val="22"/>
        </w:rPr>
        <w:tab/>
        <w:t>= b</w:t>
      </w:r>
      <w:r w:rsidRPr="00C30788">
        <w:rPr>
          <w:sz w:val="22"/>
          <w:szCs w:val="22"/>
          <w:vertAlign w:val="subscript"/>
        </w:rPr>
        <w:t>0i</w:t>
      </w:r>
      <w:r w:rsidRPr="00C30788">
        <w:rPr>
          <w:sz w:val="22"/>
          <w:szCs w:val="22"/>
        </w:rPr>
        <w:t xml:space="preserve"> + b</w:t>
      </w:r>
      <w:r w:rsidRPr="00C30788">
        <w:rPr>
          <w:sz w:val="22"/>
          <w:szCs w:val="22"/>
          <w:vertAlign w:val="subscript"/>
        </w:rPr>
        <w:t>1</w:t>
      </w:r>
      <w:r w:rsidRPr="00C30788">
        <w:rPr>
          <w:sz w:val="22"/>
          <w:szCs w:val="22"/>
        </w:rPr>
        <w:t>LnX</w:t>
      </w:r>
      <w:r w:rsidRPr="00C30788">
        <w:rPr>
          <w:sz w:val="22"/>
          <w:szCs w:val="22"/>
          <w:vertAlign w:val="subscript"/>
        </w:rPr>
        <w:t>1it</w:t>
      </w:r>
      <w:r w:rsidRPr="00C30788">
        <w:rPr>
          <w:sz w:val="22"/>
          <w:szCs w:val="22"/>
        </w:rPr>
        <w:t xml:space="preserve"> + b</w:t>
      </w:r>
      <w:r w:rsidRPr="00C30788">
        <w:rPr>
          <w:sz w:val="22"/>
          <w:szCs w:val="22"/>
          <w:vertAlign w:val="subscript"/>
        </w:rPr>
        <w:t>2</w:t>
      </w:r>
      <w:r w:rsidRPr="00C30788">
        <w:rPr>
          <w:sz w:val="22"/>
          <w:szCs w:val="22"/>
        </w:rPr>
        <w:t>LnX</w:t>
      </w:r>
      <w:r w:rsidRPr="00C30788">
        <w:rPr>
          <w:sz w:val="22"/>
          <w:szCs w:val="22"/>
          <w:vertAlign w:val="subscript"/>
        </w:rPr>
        <w:t>2it</w:t>
      </w:r>
      <w:r w:rsidRPr="00C30788">
        <w:rPr>
          <w:sz w:val="22"/>
          <w:szCs w:val="22"/>
        </w:rPr>
        <w:t xml:space="preserve"> + b</w:t>
      </w:r>
      <w:r w:rsidRPr="00C30788">
        <w:rPr>
          <w:sz w:val="22"/>
          <w:szCs w:val="22"/>
          <w:vertAlign w:val="subscript"/>
        </w:rPr>
        <w:t>3</w:t>
      </w:r>
      <w:r w:rsidRPr="00C30788">
        <w:rPr>
          <w:sz w:val="22"/>
          <w:szCs w:val="22"/>
        </w:rPr>
        <w:t>LnX</w:t>
      </w:r>
      <w:r w:rsidRPr="00C30788">
        <w:rPr>
          <w:sz w:val="22"/>
          <w:szCs w:val="22"/>
          <w:vertAlign w:val="subscript"/>
        </w:rPr>
        <w:t>3it</w:t>
      </w:r>
      <w:r w:rsidRPr="00C30788">
        <w:rPr>
          <w:sz w:val="22"/>
          <w:szCs w:val="22"/>
        </w:rPr>
        <w:t xml:space="preserve"> + b</w:t>
      </w:r>
      <w:r w:rsidRPr="00C30788">
        <w:rPr>
          <w:sz w:val="22"/>
          <w:szCs w:val="22"/>
          <w:vertAlign w:val="subscript"/>
        </w:rPr>
        <w:t>4</w:t>
      </w:r>
      <w:r w:rsidRPr="00C30788">
        <w:rPr>
          <w:sz w:val="22"/>
          <w:szCs w:val="22"/>
        </w:rPr>
        <w:t>LnX</w:t>
      </w:r>
      <w:r w:rsidRPr="00C30788">
        <w:rPr>
          <w:sz w:val="22"/>
          <w:szCs w:val="22"/>
          <w:vertAlign w:val="subscript"/>
        </w:rPr>
        <w:t>4it</w:t>
      </w:r>
      <w:r w:rsidRPr="00C30788">
        <w:rPr>
          <w:sz w:val="22"/>
          <w:szCs w:val="22"/>
        </w:rPr>
        <w:t xml:space="preserve"> + b</w:t>
      </w:r>
      <w:r w:rsidRPr="00C30788">
        <w:rPr>
          <w:sz w:val="22"/>
          <w:szCs w:val="22"/>
          <w:vertAlign w:val="subscript"/>
        </w:rPr>
        <w:t>5</w:t>
      </w:r>
      <w:r w:rsidRPr="00C30788">
        <w:rPr>
          <w:sz w:val="22"/>
          <w:szCs w:val="22"/>
        </w:rPr>
        <w:t>LnX</w:t>
      </w:r>
      <w:r w:rsidRPr="00C30788">
        <w:rPr>
          <w:sz w:val="22"/>
          <w:szCs w:val="22"/>
          <w:vertAlign w:val="subscript"/>
        </w:rPr>
        <w:t>5it</w:t>
      </w:r>
      <w:r w:rsidRPr="00C30788">
        <w:rPr>
          <w:sz w:val="22"/>
          <w:szCs w:val="22"/>
        </w:rPr>
        <w:t xml:space="preserve"> + e</w:t>
      </w:r>
      <w:r w:rsidRPr="00C30788">
        <w:rPr>
          <w:sz w:val="22"/>
          <w:szCs w:val="22"/>
          <w:vertAlign w:val="subscript"/>
        </w:rPr>
        <w:t>it</w:t>
      </w:r>
    </w:p>
    <w:p w:rsidR="00A57899" w:rsidRPr="00C30788" w:rsidRDefault="00A57899" w:rsidP="00A57899">
      <w:pPr>
        <w:jc w:val="both"/>
        <w:rPr>
          <w:sz w:val="22"/>
          <w:szCs w:val="22"/>
        </w:rPr>
      </w:pPr>
      <w:r w:rsidRPr="00C30788">
        <w:rPr>
          <w:sz w:val="22"/>
          <w:szCs w:val="22"/>
        </w:rPr>
        <w:lastRenderedPageBreak/>
        <w:t>Keterangan:</w:t>
      </w:r>
    </w:p>
    <w:p w:rsidR="00A57899" w:rsidRPr="00C30788" w:rsidRDefault="00A57899" w:rsidP="00A57899">
      <w:pPr>
        <w:ind w:left="709" w:hanging="709"/>
        <w:jc w:val="both"/>
        <w:rPr>
          <w:sz w:val="22"/>
          <w:szCs w:val="22"/>
        </w:rPr>
      </w:pPr>
      <w:r w:rsidRPr="00C30788">
        <w:rPr>
          <w:sz w:val="22"/>
          <w:szCs w:val="22"/>
        </w:rPr>
        <w:t>LnY</w:t>
      </w:r>
      <w:r w:rsidRPr="00C30788">
        <w:rPr>
          <w:sz w:val="22"/>
          <w:szCs w:val="22"/>
        </w:rPr>
        <w:tab/>
        <w:t>= Produksi TBS (ton/blok)</w:t>
      </w:r>
    </w:p>
    <w:p w:rsidR="00A57899" w:rsidRPr="00C30788" w:rsidRDefault="00A57899" w:rsidP="00A57899">
      <w:pPr>
        <w:jc w:val="both"/>
        <w:rPr>
          <w:sz w:val="22"/>
          <w:szCs w:val="22"/>
        </w:rPr>
      </w:pPr>
      <w:r w:rsidRPr="00C30788">
        <w:rPr>
          <w:sz w:val="22"/>
          <w:szCs w:val="22"/>
        </w:rPr>
        <w:t>b</w:t>
      </w:r>
      <w:r w:rsidRPr="00C30788">
        <w:rPr>
          <w:sz w:val="22"/>
          <w:szCs w:val="22"/>
          <w:vertAlign w:val="subscript"/>
        </w:rPr>
        <w:t>0</w:t>
      </w:r>
      <w:r w:rsidRPr="00C30788">
        <w:rPr>
          <w:sz w:val="22"/>
          <w:szCs w:val="22"/>
        </w:rPr>
        <w:tab/>
        <w:t>= Koefisien Intersep</w:t>
      </w:r>
    </w:p>
    <w:p w:rsidR="00A57899" w:rsidRPr="00C30788" w:rsidRDefault="00A57899" w:rsidP="00A57899">
      <w:pPr>
        <w:ind w:left="720" w:hanging="720"/>
        <w:jc w:val="both"/>
        <w:rPr>
          <w:sz w:val="22"/>
          <w:szCs w:val="22"/>
        </w:rPr>
      </w:pPr>
      <w:r w:rsidRPr="00C30788">
        <w:rPr>
          <w:sz w:val="22"/>
          <w:szCs w:val="22"/>
        </w:rPr>
        <w:t>b</w:t>
      </w:r>
      <w:r w:rsidRPr="00C30788">
        <w:rPr>
          <w:sz w:val="22"/>
          <w:szCs w:val="22"/>
          <w:vertAlign w:val="subscript"/>
        </w:rPr>
        <w:t>i</w:t>
      </w:r>
      <w:r w:rsidRPr="00C30788">
        <w:rPr>
          <w:sz w:val="22"/>
          <w:szCs w:val="22"/>
        </w:rPr>
        <w:tab/>
        <w:t>= Parameter Variabel (i = 1,2,3,...,5)</w:t>
      </w:r>
    </w:p>
    <w:p w:rsidR="00A57899" w:rsidRPr="00C30788" w:rsidRDefault="00A57899" w:rsidP="00A57899">
      <w:pPr>
        <w:jc w:val="both"/>
        <w:rPr>
          <w:sz w:val="22"/>
          <w:szCs w:val="22"/>
        </w:rPr>
      </w:pPr>
      <w:r w:rsidRPr="00C30788">
        <w:rPr>
          <w:sz w:val="22"/>
          <w:szCs w:val="22"/>
        </w:rPr>
        <w:t>LnX</w:t>
      </w:r>
      <w:r w:rsidRPr="00C30788">
        <w:rPr>
          <w:sz w:val="22"/>
          <w:szCs w:val="22"/>
          <w:vertAlign w:val="subscript"/>
        </w:rPr>
        <w:t>1</w:t>
      </w:r>
      <w:r w:rsidRPr="00C30788">
        <w:rPr>
          <w:sz w:val="22"/>
          <w:szCs w:val="22"/>
        </w:rPr>
        <w:tab/>
        <w:t>= Luas Areal (ha/blok)</w:t>
      </w:r>
    </w:p>
    <w:p w:rsidR="00A57899" w:rsidRPr="00C30788" w:rsidRDefault="00A57899" w:rsidP="00A57899">
      <w:pPr>
        <w:jc w:val="both"/>
        <w:rPr>
          <w:sz w:val="22"/>
          <w:szCs w:val="22"/>
        </w:rPr>
      </w:pPr>
      <w:r w:rsidRPr="00C30788">
        <w:rPr>
          <w:sz w:val="22"/>
          <w:szCs w:val="22"/>
        </w:rPr>
        <w:t>LnX</w:t>
      </w:r>
      <w:r w:rsidRPr="00C30788">
        <w:rPr>
          <w:sz w:val="22"/>
          <w:szCs w:val="22"/>
          <w:vertAlign w:val="subscript"/>
        </w:rPr>
        <w:t>2</w:t>
      </w:r>
      <w:r w:rsidRPr="00C30788">
        <w:rPr>
          <w:sz w:val="22"/>
          <w:szCs w:val="22"/>
          <w:vertAlign w:val="subscript"/>
        </w:rPr>
        <w:tab/>
      </w:r>
      <w:r w:rsidRPr="00C30788">
        <w:rPr>
          <w:sz w:val="22"/>
          <w:szCs w:val="22"/>
        </w:rPr>
        <w:t>= Basis Janjang (TBS/blok)</w:t>
      </w:r>
    </w:p>
    <w:p w:rsidR="00A57899" w:rsidRPr="00C30788" w:rsidRDefault="00A57899" w:rsidP="00A57899">
      <w:pPr>
        <w:jc w:val="both"/>
        <w:rPr>
          <w:sz w:val="22"/>
          <w:szCs w:val="22"/>
        </w:rPr>
      </w:pPr>
      <w:r w:rsidRPr="00C30788">
        <w:rPr>
          <w:sz w:val="22"/>
          <w:szCs w:val="22"/>
        </w:rPr>
        <w:t>LnX</w:t>
      </w:r>
      <w:r w:rsidRPr="00C30788">
        <w:rPr>
          <w:sz w:val="22"/>
          <w:szCs w:val="22"/>
          <w:vertAlign w:val="subscript"/>
        </w:rPr>
        <w:t>3</w:t>
      </w:r>
      <w:r w:rsidRPr="00C30788">
        <w:rPr>
          <w:sz w:val="22"/>
          <w:szCs w:val="22"/>
        </w:rPr>
        <w:tab/>
        <w:t>= Umur Tanaman (tahun/blok)</w:t>
      </w:r>
    </w:p>
    <w:p w:rsidR="00A57899" w:rsidRPr="00C30788" w:rsidRDefault="00A57899" w:rsidP="00A57899">
      <w:pPr>
        <w:jc w:val="both"/>
        <w:rPr>
          <w:sz w:val="22"/>
          <w:szCs w:val="22"/>
        </w:rPr>
      </w:pPr>
      <w:r w:rsidRPr="00C30788">
        <w:rPr>
          <w:sz w:val="22"/>
          <w:szCs w:val="22"/>
        </w:rPr>
        <w:t>LnX</w:t>
      </w:r>
      <w:r w:rsidRPr="00C30788">
        <w:rPr>
          <w:sz w:val="22"/>
          <w:szCs w:val="22"/>
          <w:vertAlign w:val="subscript"/>
        </w:rPr>
        <w:t>4</w:t>
      </w:r>
      <w:r w:rsidRPr="00C30788">
        <w:rPr>
          <w:sz w:val="22"/>
          <w:szCs w:val="22"/>
        </w:rPr>
        <w:tab/>
        <w:t xml:space="preserve">= Tenaga Kerja (HKO/blok) </w:t>
      </w:r>
    </w:p>
    <w:p w:rsidR="00A57899" w:rsidRPr="00C30788" w:rsidRDefault="00A57899" w:rsidP="00A57899">
      <w:pPr>
        <w:jc w:val="both"/>
        <w:rPr>
          <w:sz w:val="22"/>
          <w:szCs w:val="22"/>
        </w:rPr>
      </w:pPr>
      <w:r w:rsidRPr="00C30788">
        <w:rPr>
          <w:sz w:val="22"/>
          <w:szCs w:val="22"/>
        </w:rPr>
        <w:t>LnX</w:t>
      </w:r>
      <w:r w:rsidRPr="00C30788">
        <w:rPr>
          <w:sz w:val="22"/>
          <w:szCs w:val="22"/>
          <w:vertAlign w:val="subscript"/>
        </w:rPr>
        <w:t>5</w:t>
      </w:r>
      <w:r w:rsidRPr="00C30788">
        <w:rPr>
          <w:sz w:val="22"/>
          <w:szCs w:val="22"/>
        </w:rPr>
        <w:tab/>
        <w:t>= Pupuk (ton/blok)</w:t>
      </w:r>
    </w:p>
    <w:p w:rsidR="00A57899" w:rsidRPr="00C30788" w:rsidRDefault="00A57899" w:rsidP="00A57899">
      <w:pPr>
        <w:jc w:val="both"/>
        <w:rPr>
          <w:sz w:val="22"/>
          <w:szCs w:val="22"/>
        </w:rPr>
      </w:pPr>
      <w:r w:rsidRPr="00C30788">
        <w:rPr>
          <w:sz w:val="22"/>
          <w:szCs w:val="22"/>
        </w:rPr>
        <w:t>e</w:t>
      </w:r>
      <w:r w:rsidRPr="00C30788">
        <w:rPr>
          <w:sz w:val="22"/>
          <w:szCs w:val="22"/>
        </w:rPr>
        <w:tab/>
        <w:t xml:space="preserve">= </w:t>
      </w:r>
      <w:r w:rsidRPr="00C30788">
        <w:rPr>
          <w:i/>
          <w:sz w:val="22"/>
          <w:szCs w:val="22"/>
        </w:rPr>
        <w:t>error terms</w:t>
      </w:r>
    </w:p>
    <w:p w:rsidR="00A57899" w:rsidRPr="00C30788" w:rsidRDefault="00A57899" w:rsidP="00A57899">
      <w:pPr>
        <w:jc w:val="both"/>
        <w:rPr>
          <w:sz w:val="22"/>
          <w:szCs w:val="22"/>
        </w:rPr>
      </w:pPr>
      <w:r w:rsidRPr="00C30788">
        <w:rPr>
          <w:sz w:val="22"/>
          <w:szCs w:val="22"/>
        </w:rPr>
        <w:t>t</w:t>
      </w:r>
      <w:r w:rsidRPr="00C30788">
        <w:rPr>
          <w:sz w:val="22"/>
          <w:szCs w:val="22"/>
        </w:rPr>
        <w:tab/>
        <w:t>= Waktu (tahun)</w:t>
      </w:r>
    </w:p>
    <w:p w:rsidR="00A57899" w:rsidRPr="00C30788" w:rsidRDefault="00A57899" w:rsidP="00A57899">
      <w:pPr>
        <w:ind w:firstLine="720"/>
        <w:jc w:val="both"/>
        <w:rPr>
          <w:sz w:val="22"/>
          <w:szCs w:val="22"/>
        </w:rPr>
      </w:pPr>
      <w:r w:rsidRPr="00C30788">
        <w:rPr>
          <w:sz w:val="22"/>
          <w:szCs w:val="22"/>
        </w:rPr>
        <w:t xml:space="preserve">Untuk mengetahui pengaruh pengurangan mandor terhadap kehilangan produksi digunakan </w:t>
      </w:r>
      <w:r w:rsidRPr="00C30788">
        <w:rPr>
          <w:i/>
          <w:sz w:val="22"/>
          <w:szCs w:val="22"/>
        </w:rPr>
        <w:t>paired sample t-test</w:t>
      </w:r>
      <w:r w:rsidRPr="00C30788">
        <w:rPr>
          <w:sz w:val="22"/>
          <w:szCs w:val="22"/>
        </w:rPr>
        <w:t xml:space="preserve"> untuk menguji apakah rata-rata  kehilangan produksi sebelum dan sesudah pengurangan mandor berbeda secara nyata atau tidak. Pengujian ini dilakukan untuk mengetahui apakah kebijakan pengurangan mandor berpengaruh terhadap peningkatan kehilangan produksi dalam bentuk terpanennya buah mentah di perkebunan Bangun Bandar.</w:t>
      </w:r>
    </w:p>
    <w:p w:rsidR="00A57899" w:rsidRPr="00C30788" w:rsidRDefault="00A57899" w:rsidP="00A57899">
      <w:pPr>
        <w:pStyle w:val="ListParagraph"/>
        <w:ind w:left="0"/>
        <w:jc w:val="both"/>
        <w:rPr>
          <w:sz w:val="22"/>
          <w:szCs w:val="22"/>
        </w:rPr>
      </w:pPr>
      <w:r w:rsidRPr="00C30788">
        <w:rPr>
          <w:sz w:val="22"/>
          <w:szCs w:val="22"/>
        </w:rPr>
        <w:t>Hipotesis:</w:t>
      </w:r>
    </w:p>
    <w:p w:rsidR="00A57899" w:rsidRPr="00C30788" w:rsidRDefault="00A57899" w:rsidP="00A57899">
      <w:pPr>
        <w:pStyle w:val="ListParagraph"/>
        <w:ind w:left="0"/>
        <w:jc w:val="both"/>
        <w:rPr>
          <w:sz w:val="22"/>
          <w:szCs w:val="22"/>
        </w:rPr>
      </w:pPr>
      <w:r w:rsidRPr="00C30788">
        <w:rPr>
          <w:sz w:val="22"/>
          <w:szCs w:val="22"/>
        </w:rPr>
        <w:t>H</w:t>
      </w:r>
      <w:r w:rsidRPr="00C30788">
        <w:rPr>
          <w:sz w:val="22"/>
          <w:szCs w:val="22"/>
          <w:vertAlign w:val="subscript"/>
        </w:rPr>
        <w:t>0</w:t>
      </w:r>
      <w:r w:rsidRPr="00C30788">
        <w:rPr>
          <w:sz w:val="22"/>
          <w:szCs w:val="22"/>
        </w:rPr>
        <w:t xml:space="preserve"> = μ</w:t>
      </w:r>
      <w:r w:rsidRPr="00C30788">
        <w:rPr>
          <w:sz w:val="22"/>
          <w:szCs w:val="22"/>
          <w:vertAlign w:val="subscript"/>
        </w:rPr>
        <w:t>1</w:t>
      </w:r>
      <w:r w:rsidRPr="00C30788">
        <w:rPr>
          <w:sz w:val="22"/>
          <w:szCs w:val="22"/>
        </w:rPr>
        <w:t xml:space="preserve"> – μ</w:t>
      </w:r>
      <w:r w:rsidRPr="00C30788">
        <w:rPr>
          <w:sz w:val="22"/>
          <w:szCs w:val="22"/>
          <w:vertAlign w:val="subscript"/>
        </w:rPr>
        <w:t>2</w:t>
      </w:r>
      <w:r w:rsidRPr="00C30788">
        <w:rPr>
          <w:sz w:val="22"/>
          <w:szCs w:val="22"/>
        </w:rPr>
        <w:t xml:space="preserve"> = 0</w:t>
      </w:r>
    </w:p>
    <w:p w:rsidR="00A57899" w:rsidRPr="00C30788" w:rsidRDefault="00A57899" w:rsidP="00A57899">
      <w:pPr>
        <w:pStyle w:val="ListParagraph"/>
        <w:ind w:left="0"/>
        <w:jc w:val="both"/>
        <w:rPr>
          <w:sz w:val="22"/>
          <w:szCs w:val="22"/>
        </w:rPr>
      </w:pPr>
      <w:r w:rsidRPr="00C30788">
        <w:rPr>
          <w:sz w:val="22"/>
          <w:szCs w:val="22"/>
        </w:rPr>
        <w:t>H</w:t>
      </w:r>
      <w:r w:rsidRPr="00C30788">
        <w:rPr>
          <w:sz w:val="22"/>
          <w:szCs w:val="22"/>
          <w:vertAlign w:val="subscript"/>
        </w:rPr>
        <w:t>1</w:t>
      </w:r>
      <w:r w:rsidRPr="00C30788">
        <w:rPr>
          <w:sz w:val="22"/>
          <w:szCs w:val="22"/>
        </w:rPr>
        <w:t xml:space="preserve"> = μ</w:t>
      </w:r>
      <w:r w:rsidRPr="00C30788">
        <w:rPr>
          <w:sz w:val="22"/>
          <w:szCs w:val="22"/>
          <w:vertAlign w:val="subscript"/>
        </w:rPr>
        <w:t>1</w:t>
      </w:r>
      <w:r w:rsidRPr="00C30788">
        <w:rPr>
          <w:sz w:val="22"/>
          <w:szCs w:val="22"/>
        </w:rPr>
        <w:t xml:space="preserve"> – μ</w:t>
      </w:r>
      <w:r w:rsidRPr="00C30788">
        <w:rPr>
          <w:sz w:val="22"/>
          <w:szCs w:val="22"/>
          <w:vertAlign w:val="subscript"/>
        </w:rPr>
        <w:t>2</w:t>
      </w:r>
      <w:r w:rsidRPr="00C30788">
        <w:rPr>
          <w:sz w:val="22"/>
          <w:szCs w:val="22"/>
        </w:rPr>
        <w:t xml:space="preserve"> ≠ 0</w:t>
      </w:r>
    </w:p>
    <w:p w:rsidR="00A57899" w:rsidRPr="00C30788" w:rsidRDefault="00A57899" w:rsidP="00A57899">
      <w:pPr>
        <w:pStyle w:val="ListParagraph"/>
        <w:ind w:left="0"/>
        <w:jc w:val="both"/>
        <w:rPr>
          <w:sz w:val="22"/>
          <w:szCs w:val="22"/>
        </w:rPr>
      </w:pPr>
      <w:r w:rsidRPr="00C30788">
        <w:rPr>
          <w:sz w:val="22"/>
          <w:szCs w:val="22"/>
        </w:rPr>
        <w:t>Uji statistik yang digunakan adalah uji t dua sampel berpasangan:</w:t>
      </w:r>
    </w:p>
    <w:p w:rsidR="00A57899" w:rsidRPr="00C30788" w:rsidRDefault="00A57899" w:rsidP="00A57899">
      <w:pPr>
        <w:jc w:val="both"/>
        <w:rPr>
          <w:sz w:val="22"/>
          <w:szCs w:val="22"/>
        </w:rPr>
      </w:pPr>
      <w:r w:rsidRPr="00C30788">
        <w:rPr>
          <w:sz w:val="22"/>
          <w:szCs w:val="22"/>
        </w:rPr>
        <w:tab/>
      </w:r>
      <w:r w:rsidRPr="00C30788">
        <w:rPr>
          <w:sz w:val="22"/>
          <w:szCs w:val="22"/>
        </w:rPr>
        <w:tab/>
      </w:r>
      <m:oMath>
        <m:sSub>
          <m:sSubPr>
            <m:ctrlPr>
              <w:rPr>
                <w:rFonts w:ascii="Cambria Math" w:eastAsia="Calibri" w:hAnsi="Cambria Math"/>
                <w:i/>
                <w:sz w:val="22"/>
                <w:szCs w:val="22"/>
              </w:rPr>
            </m:ctrlPr>
          </m:sSubPr>
          <m:e>
            <m:r>
              <w:rPr>
                <w:rFonts w:ascii="Cambria Math" w:hAnsi="Cambria Math"/>
                <w:sz w:val="22"/>
                <w:szCs w:val="22"/>
              </w:rPr>
              <m:t>t</m:t>
            </m:r>
          </m:e>
          <m:sub>
            <m:r>
              <w:rPr>
                <w:rFonts w:hAnsi="Cambria Math"/>
                <w:sz w:val="22"/>
                <w:szCs w:val="22"/>
              </w:rPr>
              <m:t>h</m:t>
            </m:r>
            <m:r>
              <w:rPr>
                <w:rFonts w:ascii="Cambria Math" w:hAnsi="Cambria Math"/>
                <w:sz w:val="22"/>
                <w:szCs w:val="22"/>
              </w:rPr>
              <m:t>it</m:t>
            </m:r>
          </m:sub>
        </m:sSub>
        <m:r>
          <w:rPr>
            <w:rFonts w:ascii="Cambria Math"/>
            <w:sz w:val="22"/>
            <w:szCs w:val="22"/>
          </w:rPr>
          <m:t xml:space="preserve">= </m:t>
        </m:r>
        <m:f>
          <m:fPr>
            <m:ctrlPr>
              <w:rPr>
                <w:rFonts w:ascii="Cambria Math" w:eastAsia="Calibri" w:hAnsi="Cambria Math"/>
                <w:i/>
                <w:sz w:val="22"/>
                <w:szCs w:val="22"/>
              </w:rPr>
            </m:ctrlPr>
          </m:fPr>
          <m:num>
            <m:acc>
              <m:accPr>
                <m:chr m:val="̅"/>
                <m:ctrlPr>
                  <w:rPr>
                    <w:rFonts w:ascii="Cambria Math" w:eastAsia="Calibri" w:hAnsi="Cambria Math"/>
                    <w:i/>
                    <w:sz w:val="22"/>
                    <w:szCs w:val="22"/>
                  </w:rPr>
                </m:ctrlPr>
              </m:accPr>
              <m:e>
                <m:r>
                  <w:rPr>
                    <w:rFonts w:ascii="Cambria Math" w:hAnsi="Cambria Math"/>
                    <w:sz w:val="22"/>
                    <w:szCs w:val="22"/>
                  </w:rPr>
                  <m:t>D</m:t>
                </m:r>
              </m:e>
            </m:acc>
          </m:num>
          <m:den>
            <m:f>
              <m:fPr>
                <m:type m:val="skw"/>
                <m:ctrlPr>
                  <w:rPr>
                    <w:rFonts w:ascii="Cambria Math" w:eastAsia="Calibri" w:hAnsi="Cambria Math"/>
                    <w:i/>
                    <w:sz w:val="22"/>
                    <w:szCs w:val="22"/>
                  </w:rPr>
                </m:ctrlPr>
              </m:fPr>
              <m:num>
                <m:r>
                  <w:rPr>
                    <w:rFonts w:ascii="Cambria Math" w:hAnsi="Cambria Math"/>
                    <w:sz w:val="22"/>
                    <w:szCs w:val="22"/>
                  </w:rPr>
                  <m:t>SD</m:t>
                </m:r>
              </m:num>
              <m:den>
                <m:rad>
                  <m:radPr>
                    <m:degHide m:val="1"/>
                    <m:ctrlPr>
                      <w:rPr>
                        <w:rFonts w:ascii="Cambria Math" w:eastAsia="Calibri" w:hAnsi="Cambria Math"/>
                        <w:i/>
                        <w:sz w:val="22"/>
                        <w:szCs w:val="22"/>
                      </w:rPr>
                    </m:ctrlPr>
                  </m:radPr>
                  <m:deg/>
                  <m:e>
                    <m:r>
                      <w:rPr>
                        <w:rFonts w:ascii="Cambria Math" w:hAnsi="Cambria Math"/>
                        <w:sz w:val="22"/>
                        <w:szCs w:val="22"/>
                      </w:rPr>
                      <m:t>n</m:t>
                    </m:r>
                  </m:e>
                </m:rad>
              </m:den>
            </m:f>
          </m:den>
        </m:f>
      </m:oMath>
    </w:p>
    <w:p w:rsidR="00A57899" w:rsidRPr="00C30788" w:rsidRDefault="00A57899" w:rsidP="00A57899">
      <w:pPr>
        <w:pStyle w:val="ListParagraph"/>
        <w:ind w:left="0"/>
        <w:jc w:val="both"/>
        <w:rPr>
          <w:sz w:val="22"/>
          <w:szCs w:val="22"/>
        </w:rPr>
      </w:pPr>
      <w:r w:rsidRPr="00C30788">
        <w:rPr>
          <w:sz w:val="22"/>
          <w:szCs w:val="22"/>
        </w:rPr>
        <w:t>Dimana:</w:t>
      </w:r>
    </w:p>
    <w:p w:rsidR="00A57899" w:rsidRPr="00C30788" w:rsidRDefault="00A57899" w:rsidP="00A57899">
      <w:pPr>
        <w:pStyle w:val="ListParagraph"/>
        <w:ind w:left="0"/>
        <w:jc w:val="both"/>
        <w:rPr>
          <w:sz w:val="22"/>
          <w:szCs w:val="22"/>
        </w:rPr>
      </w:pPr>
      <w:r w:rsidRPr="00C30788">
        <w:rPr>
          <w:sz w:val="22"/>
          <w:szCs w:val="22"/>
        </w:rPr>
        <w:t>t</w:t>
      </w:r>
      <w:r w:rsidRPr="00C30788">
        <w:rPr>
          <w:sz w:val="22"/>
          <w:szCs w:val="22"/>
        </w:rPr>
        <w:tab/>
        <w:t>= Nilai t hitung</w:t>
      </w:r>
    </w:p>
    <w:p w:rsidR="00A57899" w:rsidRPr="00C30788" w:rsidRDefault="00A57899" w:rsidP="00A57899">
      <w:pPr>
        <w:pStyle w:val="ListParagraph"/>
        <w:ind w:left="0"/>
        <w:jc w:val="both"/>
        <w:rPr>
          <w:sz w:val="22"/>
          <w:szCs w:val="22"/>
        </w:rPr>
      </w:pPr>
      <w:r w:rsidRPr="00C30788">
        <w:rPr>
          <w:sz w:val="22"/>
          <w:szCs w:val="22"/>
        </w:rPr>
        <w:t>D</w:t>
      </w:r>
      <w:r w:rsidRPr="00C30788">
        <w:rPr>
          <w:sz w:val="22"/>
          <w:szCs w:val="22"/>
        </w:rPr>
        <w:tab/>
        <w:t>= Rata-rata selisih pengukuran 1 dan 2</w:t>
      </w:r>
    </w:p>
    <w:p w:rsidR="00A57899" w:rsidRPr="00C30788" w:rsidRDefault="00A57899" w:rsidP="00A57899">
      <w:pPr>
        <w:pStyle w:val="ListParagraph"/>
        <w:ind w:left="0"/>
        <w:jc w:val="both"/>
        <w:rPr>
          <w:sz w:val="22"/>
          <w:szCs w:val="22"/>
        </w:rPr>
      </w:pPr>
      <w:r w:rsidRPr="00C30788">
        <w:rPr>
          <w:sz w:val="22"/>
          <w:szCs w:val="22"/>
        </w:rPr>
        <w:t>SD</w:t>
      </w:r>
      <w:r w:rsidRPr="00C30788">
        <w:rPr>
          <w:sz w:val="22"/>
          <w:szCs w:val="22"/>
        </w:rPr>
        <w:tab/>
        <w:t>= Standar Deviasi selisih pengukuran 1 dan 2</w:t>
      </w:r>
    </w:p>
    <w:p w:rsidR="00A57899" w:rsidRPr="00C30788" w:rsidRDefault="00A57899" w:rsidP="00A57899">
      <w:pPr>
        <w:pStyle w:val="ListParagraph"/>
        <w:ind w:left="0"/>
        <w:jc w:val="both"/>
        <w:rPr>
          <w:sz w:val="22"/>
          <w:szCs w:val="22"/>
        </w:rPr>
      </w:pPr>
      <w:r w:rsidRPr="00C30788">
        <w:rPr>
          <w:sz w:val="22"/>
          <w:szCs w:val="22"/>
        </w:rPr>
        <w:t>n</w:t>
      </w:r>
      <w:r w:rsidRPr="00C30788">
        <w:rPr>
          <w:sz w:val="22"/>
          <w:szCs w:val="22"/>
        </w:rPr>
        <w:tab/>
        <w:t>= Jumlah sampel</w:t>
      </w:r>
    </w:p>
    <w:p w:rsidR="00A57899" w:rsidRPr="00C30788" w:rsidRDefault="00A57899" w:rsidP="00A57899">
      <w:pPr>
        <w:pStyle w:val="ListParagraph"/>
        <w:ind w:left="0"/>
        <w:jc w:val="both"/>
        <w:rPr>
          <w:sz w:val="22"/>
          <w:szCs w:val="22"/>
        </w:rPr>
      </w:pPr>
      <w:r w:rsidRPr="00C30788">
        <w:rPr>
          <w:sz w:val="22"/>
          <w:szCs w:val="22"/>
        </w:rPr>
        <w:t>Kriteria uji:</w:t>
      </w:r>
    </w:p>
    <w:p w:rsidR="00A57899" w:rsidRPr="00C30788" w:rsidRDefault="00A57899" w:rsidP="00A57899">
      <w:pPr>
        <w:pStyle w:val="ListParagraph"/>
        <w:ind w:left="0"/>
        <w:jc w:val="both"/>
        <w:rPr>
          <w:sz w:val="22"/>
          <w:szCs w:val="22"/>
        </w:rPr>
      </w:pPr>
      <w:r w:rsidRPr="00C30788">
        <w:rPr>
          <w:sz w:val="22"/>
          <w:szCs w:val="22"/>
        </w:rPr>
        <w:t>Apabila t</w:t>
      </w:r>
      <w:r w:rsidRPr="00C30788">
        <w:rPr>
          <w:sz w:val="22"/>
          <w:szCs w:val="22"/>
          <w:vertAlign w:val="subscript"/>
        </w:rPr>
        <w:t>hit</w:t>
      </w:r>
      <w:r w:rsidRPr="00C30788">
        <w:rPr>
          <w:sz w:val="22"/>
          <w:szCs w:val="22"/>
        </w:rPr>
        <w:t>&gt; t</w:t>
      </w:r>
      <w:r w:rsidRPr="00C30788">
        <w:rPr>
          <w:sz w:val="22"/>
          <w:szCs w:val="22"/>
          <w:vertAlign w:val="subscript"/>
        </w:rPr>
        <w:t>tab</w:t>
      </w:r>
      <w:r w:rsidRPr="00C30788">
        <w:rPr>
          <w:sz w:val="22"/>
          <w:szCs w:val="22"/>
        </w:rPr>
        <w:t xml:space="preserve"> → H</w:t>
      </w:r>
      <w:r w:rsidRPr="00C30788">
        <w:rPr>
          <w:sz w:val="22"/>
          <w:szCs w:val="22"/>
          <w:vertAlign w:val="subscript"/>
        </w:rPr>
        <w:t>0</w:t>
      </w:r>
      <w:r w:rsidRPr="00C30788">
        <w:rPr>
          <w:sz w:val="22"/>
          <w:szCs w:val="22"/>
        </w:rPr>
        <w:t xml:space="preserve"> ditolak</w:t>
      </w:r>
    </w:p>
    <w:p w:rsidR="00A57899" w:rsidRPr="00C30788" w:rsidRDefault="00A57899" w:rsidP="00A57899">
      <w:pPr>
        <w:pStyle w:val="ListParagraph"/>
        <w:ind w:left="0"/>
        <w:jc w:val="both"/>
        <w:rPr>
          <w:sz w:val="22"/>
          <w:szCs w:val="22"/>
        </w:rPr>
      </w:pPr>
      <w:r w:rsidRPr="00C30788">
        <w:rPr>
          <w:sz w:val="22"/>
          <w:szCs w:val="22"/>
        </w:rPr>
        <w:t>Apabila t</w:t>
      </w:r>
      <w:r w:rsidRPr="00C30788">
        <w:rPr>
          <w:sz w:val="22"/>
          <w:szCs w:val="22"/>
          <w:vertAlign w:val="subscript"/>
        </w:rPr>
        <w:t>hit</w:t>
      </w:r>
      <w:r w:rsidRPr="00C30788">
        <w:rPr>
          <w:sz w:val="22"/>
          <w:szCs w:val="22"/>
        </w:rPr>
        <w:t>&lt; t</w:t>
      </w:r>
      <w:r w:rsidRPr="00C30788">
        <w:rPr>
          <w:sz w:val="22"/>
          <w:szCs w:val="22"/>
          <w:vertAlign w:val="subscript"/>
        </w:rPr>
        <w:t>tab</w:t>
      </w:r>
      <w:r w:rsidRPr="00C30788">
        <w:rPr>
          <w:sz w:val="22"/>
          <w:szCs w:val="22"/>
        </w:rPr>
        <w:t xml:space="preserve"> → H</w:t>
      </w:r>
      <w:r w:rsidRPr="00C30788">
        <w:rPr>
          <w:sz w:val="22"/>
          <w:szCs w:val="22"/>
          <w:vertAlign w:val="subscript"/>
        </w:rPr>
        <w:t>0</w:t>
      </w:r>
      <w:r w:rsidRPr="00C30788">
        <w:rPr>
          <w:sz w:val="22"/>
          <w:szCs w:val="22"/>
        </w:rPr>
        <w:t xml:space="preserve"> diterima</w:t>
      </w:r>
    </w:p>
    <w:p w:rsidR="00A57899" w:rsidRPr="00C30788" w:rsidRDefault="00A57899" w:rsidP="00A57899">
      <w:pPr>
        <w:ind w:firstLine="720"/>
        <w:jc w:val="both"/>
        <w:rPr>
          <w:sz w:val="22"/>
          <w:szCs w:val="22"/>
        </w:rPr>
      </w:pPr>
      <w:r w:rsidRPr="00C30788">
        <w:rPr>
          <w:sz w:val="22"/>
          <w:szCs w:val="22"/>
        </w:rPr>
        <w:t>Jika H</w:t>
      </w:r>
      <w:r w:rsidRPr="00C30788">
        <w:rPr>
          <w:sz w:val="22"/>
          <w:szCs w:val="22"/>
          <w:vertAlign w:val="subscript"/>
        </w:rPr>
        <w:t>0</w:t>
      </w:r>
      <w:r w:rsidRPr="00C30788">
        <w:rPr>
          <w:sz w:val="22"/>
          <w:szCs w:val="22"/>
        </w:rPr>
        <w:t xml:space="preserve"> ditolak maka artinya kedua rata-rata populasi tidak identik atau rata-rata kedua sampel berbeda secara nyata. Sebaliknya apabila H</w:t>
      </w:r>
      <w:r w:rsidRPr="00C30788">
        <w:rPr>
          <w:sz w:val="22"/>
          <w:szCs w:val="22"/>
          <w:vertAlign w:val="subscript"/>
        </w:rPr>
        <w:t>0</w:t>
      </w:r>
      <w:r w:rsidRPr="00C30788">
        <w:rPr>
          <w:sz w:val="22"/>
          <w:szCs w:val="22"/>
        </w:rPr>
        <w:t xml:space="preserve"> diterima maka dapat disimpulkan bahwa rata-rata kedua sampel identik atau tidak berbeda secara nyata.</w:t>
      </w:r>
    </w:p>
    <w:p w:rsidR="00A57899" w:rsidRDefault="00A57899" w:rsidP="00A57899">
      <w:pPr>
        <w:jc w:val="center"/>
        <w:outlineLvl w:val="0"/>
        <w:rPr>
          <w:b/>
          <w:sz w:val="22"/>
          <w:szCs w:val="22"/>
        </w:rPr>
      </w:pPr>
    </w:p>
    <w:p w:rsidR="00A57899" w:rsidRDefault="00A57899" w:rsidP="00A57899">
      <w:pPr>
        <w:jc w:val="center"/>
        <w:outlineLvl w:val="0"/>
        <w:rPr>
          <w:b/>
          <w:sz w:val="22"/>
          <w:szCs w:val="22"/>
        </w:rPr>
      </w:pPr>
    </w:p>
    <w:p w:rsidR="00A57899" w:rsidRDefault="00A57899" w:rsidP="00A57899">
      <w:pPr>
        <w:jc w:val="center"/>
        <w:outlineLvl w:val="0"/>
        <w:rPr>
          <w:b/>
          <w:sz w:val="22"/>
          <w:szCs w:val="22"/>
        </w:rPr>
      </w:pPr>
      <w:r w:rsidRPr="00C30788">
        <w:rPr>
          <w:b/>
          <w:sz w:val="22"/>
          <w:szCs w:val="22"/>
        </w:rPr>
        <w:t>HASIL DAN PEMBAHASAN</w:t>
      </w:r>
    </w:p>
    <w:p w:rsidR="00A57899" w:rsidRPr="00C30788" w:rsidRDefault="00A57899" w:rsidP="00A57899">
      <w:pPr>
        <w:jc w:val="center"/>
        <w:outlineLvl w:val="0"/>
        <w:rPr>
          <w:b/>
          <w:sz w:val="22"/>
          <w:szCs w:val="22"/>
        </w:rPr>
      </w:pPr>
    </w:p>
    <w:p w:rsidR="00A57899" w:rsidRPr="00C30788" w:rsidRDefault="00A57899" w:rsidP="00A57899">
      <w:pPr>
        <w:jc w:val="both"/>
        <w:outlineLvl w:val="0"/>
        <w:rPr>
          <w:b/>
          <w:sz w:val="22"/>
          <w:szCs w:val="22"/>
        </w:rPr>
      </w:pPr>
      <w:r w:rsidRPr="00C30788">
        <w:rPr>
          <w:b/>
          <w:sz w:val="22"/>
          <w:szCs w:val="22"/>
        </w:rPr>
        <w:t>Analisis Faktor-Faktor yang Mempengaruhi Produksi</w:t>
      </w:r>
      <w:r>
        <w:rPr>
          <w:b/>
          <w:sz w:val="22"/>
          <w:szCs w:val="22"/>
        </w:rPr>
        <w:t xml:space="preserve"> TBS</w:t>
      </w:r>
      <w:r w:rsidRPr="00C30788">
        <w:rPr>
          <w:b/>
          <w:sz w:val="22"/>
          <w:szCs w:val="22"/>
        </w:rPr>
        <w:t xml:space="preserve"> Kelapa Sawit</w:t>
      </w:r>
    </w:p>
    <w:p w:rsidR="00A57899" w:rsidRPr="00C30788" w:rsidRDefault="00A57899" w:rsidP="00A57899">
      <w:pPr>
        <w:ind w:firstLine="720"/>
        <w:jc w:val="both"/>
        <w:rPr>
          <w:sz w:val="22"/>
          <w:szCs w:val="22"/>
        </w:rPr>
      </w:pPr>
      <w:r w:rsidRPr="00C30788">
        <w:rPr>
          <w:sz w:val="22"/>
          <w:szCs w:val="22"/>
        </w:rPr>
        <w:t xml:space="preserve">Faktor-faktor produksi TBS di kebun Bangun Bandar terdiri atasluas lahan, umur tanaman, basis TBS, tenaga kerja, dan pupuk. Luas lahan pada divisi 1 dan 3 terus menurun dari tahun 2015 - 2017. Sedangkan pada divisi 2 dan 4 menunjukkan hal sebaliknya, luas lahan pada kedua divisi tersebut terus mengalami peningkat selama tahun 2015 - 2017. Peningkatan dan penurunan luas lahan terjadi karena adanya kebijakan perusahaan. Perusahaan melakukan </w:t>
      </w:r>
      <w:r w:rsidRPr="00C30788">
        <w:rPr>
          <w:i/>
          <w:sz w:val="22"/>
          <w:szCs w:val="22"/>
        </w:rPr>
        <w:t>replanting</w:t>
      </w:r>
      <w:r w:rsidRPr="00C30788">
        <w:rPr>
          <w:sz w:val="22"/>
          <w:szCs w:val="22"/>
        </w:rPr>
        <w:t xml:space="preserve"> di setiap divisi setiap tahun. Kebijakan dilakukan untuk meningkatkan produktivitas kelapa sawit. </w:t>
      </w:r>
    </w:p>
    <w:p w:rsidR="00A57899" w:rsidRPr="00C30788" w:rsidRDefault="00A57899" w:rsidP="00A57899">
      <w:pPr>
        <w:pStyle w:val="ListParagraph"/>
        <w:ind w:left="0" w:firstLine="720"/>
        <w:contextualSpacing w:val="0"/>
        <w:jc w:val="both"/>
        <w:rPr>
          <w:color w:val="000000"/>
          <w:sz w:val="22"/>
          <w:szCs w:val="22"/>
          <w:shd w:val="clear" w:color="auto" w:fill="FFFFFF"/>
        </w:rPr>
      </w:pPr>
      <w:r w:rsidRPr="00C30788">
        <w:rPr>
          <w:color w:val="000000"/>
          <w:sz w:val="22"/>
          <w:szCs w:val="22"/>
          <w:shd w:val="clear" w:color="auto" w:fill="FFFFFF"/>
        </w:rPr>
        <w:t xml:space="preserve">Menurut </w:t>
      </w:r>
      <w:r w:rsidRPr="00C30788">
        <w:rPr>
          <w:color w:val="000000"/>
          <w:sz w:val="22"/>
          <w:szCs w:val="22"/>
          <w:shd w:val="clear" w:color="auto" w:fill="FFFFFF"/>
        </w:rPr>
        <w:fldChar w:fldCharType="begin" w:fldLock="1"/>
      </w:r>
      <w:r w:rsidRPr="00C30788">
        <w:rPr>
          <w:color w:val="000000"/>
          <w:sz w:val="22"/>
          <w:szCs w:val="22"/>
          <w:shd w:val="clear" w:color="auto" w:fill="FFFFFF"/>
        </w:rPr>
        <w:instrText>ADDIN CSL_CITATION { "citationItems" : [ { "id" : "ITEM-1", "itemData" : { "author" : [ { "dropping-particle" : "", "family" : "Saragih", "given" : "Bungaran", "non-dropping-particle" : "", "parse-names" : false, "suffix" : "" } ], "container-title" : "PASPI", "id" : "ITEM-1", "issued" : { "date-parts" : [ [ "2016" ] ] }, "page" : "1-7", "title" : "Produktivitas Sumber Pertumbuhan Minyak Sawit yang Berkelanjutan", "type" : "webpage" }, "uris" : [ "http://www.mendeley.com/documents/?uuid=da534251-3c5a-41d9-804f-fd26b2370246" ] } ], "mendeley" : { "formattedCitation" : "(Saragih, 2016)", "manualFormatting" : "Saragih (2016)", "plainTextFormattedCitation" : "(Saragih, 2016)", "previouslyFormattedCitation" : "(Saragih, 2016)" }, "properties" : {  }, "schema" : "https://github.com/citation-style-language/schema/raw/master/csl-citation.json" }</w:instrText>
      </w:r>
      <w:r w:rsidRPr="00C30788">
        <w:rPr>
          <w:color w:val="000000"/>
          <w:sz w:val="22"/>
          <w:szCs w:val="22"/>
          <w:shd w:val="clear" w:color="auto" w:fill="FFFFFF"/>
        </w:rPr>
        <w:fldChar w:fldCharType="separate"/>
      </w:r>
      <w:r w:rsidRPr="00C30788">
        <w:rPr>
          <w:color w:val="000000"/>
          <w:sz w:val="22"/>
          <w:szCs w:val="22"/>
          <w:shd w:val="clear" w:color="auto" w:fill="FFFFFF"/>
        </w:rPr>
        <w:t>Saragih (2016)</w:t>
      </w:r>
      <w:r w:rsidRPr="00C30788">
        <w:rPr>
          <w:color w:val="000000"/>
          <w:sz w:val="22"/>
          <w:szCs w:val="22"/>
          <w:shd w:val="clear" w:color="auto" w:fill="FFFFFF"/>
        </w:rPr>
        <w:fldChar w:fldCharType="end"/>
      </w:r>
      <w:r w:rsidRPr="00C30788">
        <w:rPr>
          <w:color w:val="000000"/>
          <w:sz w:val="22"/>
          <w:szCs w:val="22"/>
          <w:shd w:val="clear" w:color="auto" w:fill="FFFFFF"/>
        </w:rPr>
        <w:t xml:space="preserve">, terdapat dua strategi untuk untuk meningkatkan produktivitas. Strategi yang pertama (S1) adalah dengan meningkatan kegiatan perawatan tanaman kelapa sawit melalui pemupukan dan perbaikan kultur teknis kebun </w:t>
      </w:r>
      <w:r w:rsidRPr="00C30788">
        <w:rPr>
          <w:i/>
          <w:color w:val="000000"/>
          <w:sz w:val="22"/>
          <w:szCs w:val="22"/>
          <w:shd w:val="clear" w:color="auto" w:fill="FFFFFF"/>
        </w:rPr>
        <w:t>(best practices</w:t>
      </w:r>
      <w:r w:rsidRPr="00C30788">
        <w:rPr>
          <w:color w:val="000000"/>
          <w:sz w:val="22"/>
          <w:szCs w:val="22"/>
          <w:shd w:val="clear" w:color="auto" w:fill="FFFFFF"/>
        </w:rPr>
        <w:t xml:space="preserve">), serta memperbaiki </w:t>
      </w:r>
      <w:r w:rsidRPr="00C30788">
        <w:rPr>
          <w:color w:val="000000"/>
          <w:sz w:val="22"/>
          <w:szCs w:val="22"/>
          <w:shd w:val="clear" w:color="auto" w:fill="FFFFFF"/>
        </w:rPr>
        <w:lastRenderedPageBreak/>
        <w:t>teknologi pada pabrik kelapa sawit (PKS). Dalam ilmu eknomi strategi ini strategi peningkatan produktivitas parsial (perbaikan kultur teknis tanpa mengganti varietas). Sedangkan pada strategi yang kedua (S2) peningkatan produktivitas dilakukan dengan melakukan replanting, sehingga mengganti varietas lama dengan varietas yang baru/unggul. Strategi ini dalam ilmu ekonomi dikenal sebagai strategi peningkatan produktivitas total (</w:t>
      </w:r>
      <w:r w:rsidRPr="00C30788">
        <w:rPr>
          <w:i/>
          <w:color w:val="000000"/>
          <w:sz w:val="22"/>
          <w:szCs w:val="22"/>
          <w:shd w:val="clear" w:color="auto" w:fill="FFFFFF"/>
        </w:rPr>
        <w:t>total factor productivity</w:t>
      </w:r>
      <w:r w:rsidRPr="00C30788">
        <w:rPr>
          <w:color w:val="000000"/>
          <w:sz w:val="22"/>
          <w:szCs w:val="22"/>
          <w:shd w:val="clear" w:color="auto" w:fill="FFFFFF"/>
        </w:rPr>
        <w:t>).</w:t>
      </w:r>
      <w:r>
        <w:rPr>
          <w:color w:val="000000"/>
          <w:sz w:val="22"/>
          <w:szCs w:val="22"/>
          <w:shd w:val="clear" w:color="auto" w:fill="FFFFFF"/>
        </w:rPr>
        <w:t xml:space="preserve"> Menurut</w:t>
      </w:r>
      <w:r w:rsidRPr="00C30788">
        <w:rPr>
          <w:color w:val="000000"/>
          <w:sz w:val="22"/>
          <w:szCs w:val="22"/>
          <w:shd w:val="clear" w:color="auto" w:fill="FFFFFF"/>
        </w:rPr>
        <w:t xml:space="preserve"> </w:t>
      </w:r>
      <w:r>
        <w:rPr>
          <w:sz w:val="22"/>
          <w:szCs w:val="22"/>
        </w:rPr>
        <w:fldChar w:fldCharType="begin" w:fldLock="1"/>
      </w:r>
      <w:r>
        <w:rPr>
          <w:sz w:val="22"/>
          <w:szCs w:val="22"/>
        </w:rPr>
        <w:instrText>ADDIN CSL_CITATION { "citationItems" : [ { "id" : "ITEM-1", "itemData" : { "abstract" : "Over the last few decades, Indonesian oil palm industry has grown significantly becoming a very important agriculture-based industry, where the country is today the first world\u2019s leading producer and exporter. Total factor productivity (TFP) is a framework that can be employed to analyze the source of economic growth. Using the data from the National Farmers Panel Data Survey for the year 2009 and 2012 in two observed districts respectively in Sanggau and Muaro Jambi district, the results of determinant factors analysis shows that Land, Pesticide, Fertilizer and Labor have significant contribution to total production of oil palm in both districts. On the other hand, based on accounting approach, the result reveals that TFP index values of the districts of Sanggau and Muaro Jambi respectively were 1.56 and 1.03. This study have important implications on how to facilitate the adjustment of small farmers to more efficient oil palm production.", "author" : [ { "dropping-particle" : "", "family" : "Nuryartono", "given" : "Nunung", "non-dropping-particle" : "", "parse-names" : false, "suffix" : "" }, { "dropping-particle" : "", "family" : "Pasaribu", "given" : "Syamsul Hidayat", "non-dropping-particle" : "", "parse-names" : false, "suffix" : "" }, { "dropping-particle" : "", "family" : "Nadhilah", "given" : "Pristi", "non-dropping-particle" : "", "parse-names" : false, "suffix" : "" }, { "dropping-particle" : "", "family" : "Panggabean", "given" : "Khairina", "non-dropping-particle" : "", "parse-names" : false, "suffix" : "" } ], "container-title" : "International Journal of Economic and Financial Issues", "id" : "ITEM-1", "issue" : "4", "issued" : { "date-parts" : [ [ "2016" ] ] }, "page" : "1570-1577", "title" : "Total Factor Productivity Analysis of Oil Palm Production in Indonesia", "type" : "article-journal", "volume" : "6" }, "uris" : [ "http://www.mendeley.com/documents/?uuid=ce3205fd-d95f-4b5e-a1c6-1c3192d2f3a6" ] } ], "mendeley" : { "formattedCitation" : "(Nuryartono, Pasaribu, Nadhilah, &amp; Panggabean, 2016)", "manualFormatting" : "Nuryartono et al (2016)", "plainTextFormattedCitation" : "(Nuryartono, Pasaribu, Nadhilah, &amp; Panggabean, 2016)", "previouslyFormattedCitation" : "(Nuryartono, Pasaribu, Nadhilah, &amp; Panggabean, 2016)" }, "properties" : {  }, "schema" : "https://github.com/citation-style-language/schema/raw/master/csl-citation.json" }</w:instrText>
      </w:r>
      <w:r>
        <w:rPr>
          <w:sz w:val="22"/>
          <w:szCs w:val="22"/>
        </w:rPr>
        <w:fldChar w:fldCharType="separate"/>
      </w:r>
      <w:r>
        <w:rPr>
          <w:sz w:val="22"/>
          <w:szCs w:val="22"/>
        </w:rPr>
        <w:t>Nuryartono et al (</w:t>
      </w:r>
      <w:r w:rsidRPr="0034703B">
        <w:rPr>
          <w:sz w:val="22"/>
          <w:szCs w:val="22"/>
        </w:rPr>
        <w:t>2016)</w:t>
      </w:r>
      <w:r>
        <w:rPr>
          <w:sz w:val="22"/>
          <w:szCs w:val="22"/>
        </w:rPr>
        <w:fldChar w:fldCharType="end"/>
      </w:r>
      <w:r>
        <w:rPr>
          <w:color w:val="000000"/>
          <w:sz w:val="22"/>
          <w:szCs w:val="22"/>
          <w:shd w:val="clear" w:color="auto" w:fill="FFFFFF"/>
        </w:rPr>
        <w:t xml:space="preserve">, </w:t>
      </w:r>
      <w:r w:rsidRPr="007F3043">
        <w:rPr>
          <w:sz w:val="22"/>
          <w:szCs w:val="22"/>
        </w:rPr>
        <w:t>Total faktor produktivitas (TFP) biasanya didefinisikan sebagai rasio output agregat untuk agregat input dan jika total output tumbuh lebih cepat dari total input, maka disebut perbaikan di TFP.</w:t>
      </w:r>
      <w:r w:rsidRPr="006E4C01">
        <w:t xml:space="preserve"> </w:t>
      </w:r>
      <w:r w:rsidRPr="00C30788">
        <w:rPr>
          <w:color w:val="000000"/>
          <w:sz w:val="22"/>
          <w:szCs w:val="22"/>
          <w:shd w:val="clear" w:color="auto" w:fill="FFFFFF"/>
        </w:rPr>
        <w:t>Penggantian varietas baru/unggul yang disertai dengan perbaikan kultur teknis akan menggeser kurva produktivitas S1 ke S2 (Gambar 1) sehingga produktivitas kelapa sawit menjadi lebih tinggi.</w:t>
      </w:r>
    </w:p>
    <w:p w:rsidR="00A57899" w:rsidRPr="000D2152" w:rsidRDefault="00A57899" w:rsidP="00A57899">
      <w:pPr>
        <w:pStyle w:val="ListParagraph"/>
        <w:ind w:left="0" w:firstLine="720"/>
        <w:contextualSpacing w:val="0"/>
        <w:jc w:val="both"/>
        <w:rPr>
          <w:sz w:val="22"/>
          <w:szCs w:val="22"/>
        </w:rPr>
      </w:pPr>
      <w:r w:rsidRPr="00C30788">
        <w:rPr>
          <w:color w:val="000000"/>
          <w:sz w:val="22"/>
          <w:szCs w:val="22"/>
          <w:shd w:val="clear" w:color="auto" w:fill="FFFFFF"/>
        </w:rPr>
        <w:t>Kebijakan replanting dilakukan karena banyak tanaman yang sudah berumur tua dan tidak produktif lagi. Berdasarkan umur tanamannya, produktivitas kebun Bangun Bandar beragam. Namun, semakin semakin tinggi usia tanaman maka produktivitas yang dihasilkan oleh tanaman tersebut akan semakin rendah (Gambar 1).</w:t>
      </w:r>
      <w:r w:rsidRPr="0055214B">
        <w:rPr>
          <w:sz w:val="22"/>
          <w:szCs w:val="22"/>
        </w:rPr>
        <w:t xml:space="preserve"> </w:t>
      </w:r>
      <w:r w:rsidRPr="00C30788">
        <w:rPr>
          <w:sz w:val="22"/>
          <w:szCs w:val="22"/>
        </w:rPr>
        <w:t xml:space="preserve">Kebun Bangun Bandar didominasi tanaman dengan umur 3-8 tahun dan umur 9-13 tahun. Hal ini karena kebun Bangun Bandar masih berada dalam </w:t>
      </w:r>
      <w:r>
        <w:rPr>
          <w:sz w:val="22"/>
          <w:szCs w:val="22"/>
        </w:rPr>
        <w:t xml:space="preserve"> </w:t>
      </w:r>
      <w:r w:rsidRPr="00C30788">
        <w:rPr>
          <w:sz w:val="22"/>
          <w:szCs w:val="22"/>
        </w:rPr>
        <w:t>proses replanting.Sehingga diharapkan dalam beberapa tahun kedepan, tanaman yang telah di replanting dapat meningkatkan produksi TBS karena menggunakan varietas benih yang lebih baik dari sebelumnya.</w:t>
      </w:r>
    </w:p>
    <w:p w:rsidR="00A57899" w:rsidRDefault="00A57899" w:rsidP="00A57899">
      <w:pPr>
        <w:jc w:val="center"/>
        <w:rPr>
          <w:sz w:val="22"/>
          <w:szCs w:val="22"/>
        </w:rPr>
      </w:pPr>
      <w:r w:rsidRPr="00C30788">
        <w:rPr>
          <w:sz w:val="22"/>
          <w:szCs w:val="22"/>
          <w:lang w:eastAsia="id-ID"/>
        </w:rPr>
        <w:drawing>
          <wp:inline distT="0" distB="0" distL="0" distR="0" wp14:anchorId="43946AA3" wp14:editId="2FCBD3B2">
            <wp:extent cx="4487969" cy="2219325"/>
            <wp:effectExtent l="19050" t="0" r="783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87969" cy="2219325"/>
                    </a:xfrm>
                    <a:prstGeom prst="rect">
                      <a:avLst/>
                    </a:prstGeom>
                    <a:noFill/>
                    <a:ln w="9525">
                      <a:noFill/>
                      <a:miter lim="800000"/>
                      <a:headEnd/>
                      <a:tailEnd/>
                    </a:ln>
                  </pic:spPr>
                </pic:pic>
              </a:graphicData>
            </a:graphic>
          </wp:inline>
        </w:drawing>
      </w:r>
    </w:p>
    <w:p w:rsidR="00A57899" w:rsidRDefault="00A57899" w:rsidP="00A57899">
      <w:pPr>
        <w:ind w:firstLine="720"/>
        <w:jc w:val="center"/>
        <w:rPr>
          <w:sz w:val="22"/>
          <w:szCs w:val="22"/>
        </w:rPr>
      </w:pPr>
      <w:r w:rsidRPr="006461A8">
        <w:rPr>
          <w:sz w:val="22"/>
          <w:szCs w:val="22"/>
        </w:rPr>
        <w:t>Gambar 1</w:t>
      </w:r>
      <w:r w:rsidRPr="000D2152">
        <w:rPr>
          <w:b/>
          <w:sz w:val="22"/>
          <w:szCs w:val="22"/>
        </w:rPr>
        <w:t>.</w:t>
      </w:r>
      <w:r>
        <w:rPr>
          <w:sz w:val="22"/>
          <w:szCs w:val="22"/>
        </w:rPr>
        <w:t xml:space="preserve"> Strategi Peningkatan Produkstivitas Kebun Kelapa Sawit (Sumber: </w:t>
      </w:r>
    </w:p>
    <w:p w:rsidR="00A57899" w:rsidRPr="00C30788" w:rsidRDefault="00A57899" w:rsidP="00A57899">
      <w:pPr>
        <w:ind w:firstLine="720"/>
        <w:jc w:val="both"/>
        <w:rPr>
          <w:sz w:val="22"/>
          <w:szCs w:val="22"/>
        </w:rPr>
      </w:pPr>
      <w:r>
        <w:rPr>
          <w:sz w:val="22"/>
          <w:szCs w:val="22"/>
        </w:rPr>
        <w:tab/>
        <w:t xml:space="preserve">       </w:t>
      </w:r>
      <w:r>
        <w:rPr>
          <w:sz w:val="22"/>
          <w:szCs w:val="22"/>
        </w:rPr>
        <w:fldChar w:fldCharType="begin" w:fldLock="1"/>
      </w:r>
      <w:r>
        <w:rPr>
          <w:sz w:val="22"/>
          <w:szCs w:val="22"/>
        </w:rPr>
        <w:instrText>ADDIN CSL_CITATION { "citationItems" : [ { "id" : "ITEM-1", "itemData" : { "author" : [ { "dropping-particle" : "", "family" : "Saragih", "given" : "Bungaran", "non-dropping-particle" : "", "parse-names" : false, "suffix" : "" } ], "container-title" : "PASPI", "id" : "ITEM-1", "issued" : { "date-parts" : [ [ "2016" ] ] }, "page" : "1-7", "title" : "Produktivitas Sumber Pertumbuhan Minyak Sawit yang Berkelanjutan", "type" : "webpage" }, "uris" : [ "http://www.mendeley.com/documents/?uuid=da534251-3c5a-41d9-804f-fd26b2370246" ] } ], "mendeley" : { "formattedCitation" : "(Saragih, 2016)", "manualFormatting" : "Saragih, 2016)", "plainTextFormattedCitation" : "(Saragih, 2016)", "previouslyFormattedCitation" : "(Saragih, 2016)" }, "properties" : {  }, "schema" : "https://github.com/citation-style-language/schema/raw/master/csl-citation.json" }</w:instrText>
      </w:r>
      <w:r>
        <w:rPr>
          <w:sz w:val="22"/>
          <w:szCs w:val="22"/>
        </w:rPr>
        <w:fldChar w:fldCharType="separate"/>
      </w:r>
      <w:r w:rsidRPr="000D2152">
        <w:rPr>
          <w:sz w:val="22"/>
          <w:szCs w:val="22"/>
        </w:rPr>
        <w:t>Saragih, 2016)</w:t>
      </w:r>
      <w:r>
        <w:rPr>
          <w:sz w:val="22"/>
          <w:szCs w:val="22"/>
        </w:rPr>
        <w:fldChar w:fldCharType="end"/>
      </w:r>
    </w:p>
    <w:p w:rsidR="00A57899" w:rsidRDefault="00A57899" w:rsidP="00A57899">
      <w:pPr>
        <w:pStyle w:val="ListParagraph"/>
        <w:ind w:left="0" w:firstLine="720"/>
        <w:contextualSpacing w:val="0"/>
        <w:jc w:val="both"/>
        <w:rPr>
          <w:sz w:val="22"/>
          <w:szCs w:val="22"/>
        </w:rPr>
      </w:pPr>
      <w:r w:rsidRPr="00C30788">
        <w:rPr>
          <w:color w:val="000000"/>
          <w:sz w:val="22"/>
          <w:szCs w:val="22"/>
          <w:shd w:val="clear" w:color="auto" w:fill="FFFFFF"/>
        </w:rPr>
        <w:t>Pemupukan adalah faktor yang penting untuk meningkatkan produksi dengan memenuhi unsur hara yang diperlukan dalam tanah. Pupuk yang digunakan kebun Bangun Bandar adalah pupuk</w:t>
      </w:r>
      <w:r w:rsidRPr="00C30788">
        <w:rPr>
          <w:sz w:val="22"/>
          <w:szCs w:val="22"/>
        </w:rPr>
        <w:t xml:space="preserve"> NPK, Urea, KCL, Rock Phosphate, Dolomite, Kieserite, and Borax. NPK adalah pupuk yang paling banyak digunakan, dengan jumlah penggunaan mencapai 1.116,280 ton, diikuti oleh Urea 228.950 ton, KCL 165.830 ton, Dolomite 136.950 ton, Rock Phospat 100.810 ton, Kieserite 82.290 ton, and Borax 14.780 ton.</w:t>
      </w:r>
    </w:p>
    <w:p w:rsidR="00A57899" w:rsidRDefault="00A57899" w:rsidP="00A57899">
      <w:pPr>
        <w:pStyle w:val="ListParagraph"/>
        <w:ind w:left="0"/>
        <w:contextualSpacing w:val="0"/>
        <w:jc w:val="both"/>
        <w:rPr>
          <w:sz w:val="22"/>
          <w:szCs w:val="22"/>
        </w:rPr>
      </w:pPr>
      <w:r>
        <w:rPr>
          <w:sz w:val="22"/>
          <w:szCs w:val="22"/>
        </w:rPr>
        <w:t>Tabel 1. Hasil Analisis Regresi Berganda</w:t>
      </w:r>
    </w:p>
    <w:tbl>
      <w:tblPr>
        <w:tblStyle w:val="TableGrid"/>
        <w:tblW w:w="8153" w:type="dxa"/>
        <w:tblInd w:w="108" w:type="dxa"/>
        <w:tblLook w:val="04A0" w:firstRow="1" w:lastRow="0" w:firstColumn="1" w:lastColumn="0" w:noHBand="0" w:noVBand="1"/>
      </w:tblPr>
      <w:tblGrid>
        <w:gridCol w:w="2057"/>
        <w:gridCol w:w="2033"/>
        <w:gridCol w:w="2030"/>
        <w:gridCol w:w="2033"/>
      </w:tblGrid>
      <w:tr w:rsidR="00A57899" w:rsidTr="00BC104B">
        <w:trPr>
          <w:trHeight w:val="172"/>
        </w:trPr>
        <w:tc>
          <w:tcPr>
            <w:tcW w:w="2038" w:type="dxa"/>
            <w:tcBorders>
              <w:left w:val="nil"/>
              <w:bottom w:val="single" w:sz="4" w:space="0" w:color="000000" w:themeColor="text1"/>
              <w:right w:val="nil"/>
            </w:tcBorders>
            <w:vAlign w:val="center"/>
          </w:tcPr>
          <w:p w:rsidR="00A57899" w:rsidRDefault="00A57899" w:rsidP="00BC104B">
            <w:pPr>
              <w:pStyle w:val="ListParagraph"/>
              <w:ind w:left="0"/>
              <w:contextualSpacing w:val="0"/>
              <w:jc w:val="center"/>
            </w:pPr>
            <w:r>
              <w:t>Variabel</w:t>
            </w:r>
          </w:p>
        </w:tc>
        <w:tc>
          <w:tcPr>
            <w:tcW w:w="2038" w:type="dxa"/>
            <w:tcBorders>
              <w:left w:val="nil"/>
              <w:bottom w:val="single" w:sz="4" w:space="0" w:color="000000" w:themeColor="text1"/>
              <w:right w:val="nil"/>
            </w:tcBorders>
            <w:vAlign w:val="center"/>
          </w:tcPr>
          <w:p w:rsidR="00A57899" w:rsidRDefault="00A57899" w:rsidP="00BC104B">
            <w:pPr>
              <w:pStyle w:val="ListParagraph"/>
              <w:ind w:left="0"/>
              <w:contextualSpacing w:val="0"/>
              <w:jc w:val="center"/>
            </w:pPr>
            <w:r>
              <w:t>Koefisien</w:t>
            </w:r>
          </w:p>
        </w:tc>
        <w:tc>
          <w:tcPr>
            <w:tcW w:w="2038" w:type="dxa"/>
            <w:tcBorders>
              <w:left w:val="nil"/>
              <w:bottom w:val="single" w:sz="4" w:space="0" w:color="000000" w:themeColor="text1"/>
              <w:right w:val="nil"/>
            </w:tcBorders>
            <w:vAlign w:val="center"/>
          </w:tcPr>
          <w:p w:rsidR="00A57899" w:rsidRDefault="00A57899" w:rsidP="00BC104B">
            <w:pPr>
              <w:pStyle w:val="ListParagraph"/>
              <w:ind w:left="0"/>
              <w:contextualSpacing w:val="0"/>
              <w:jc w:val="center"/>
            </w:pPr>
            <w:r>
              <w:t>t-Statistik</w:t>
            </w:r>
          </w:p>
        </w:tc>
        <w:tc>
          <w:tcPr>
            <w:tcW w:w="2039" w:type="dxa"/>
            <w:tcBorders>
              <w:left w:val="nil"/>
              <w:bottom w:val="single" w:sz="4" w:space="0" w:color="000000" w:themeColor="text1"/>
              <w:right w:val="nil"/>
            </w:tcBorders>
            <w:vAlign w:val="center"/>
          </w:tcPr>
          <w:p w:rsidR="00A57899" w:rsidRDefault="00A57899" w:rsidP="00BC104B">
            <w:pPr>
              <w:pStyle w:val="ListParagraph"/>
              <w:ind w:left="0"/>
              <w:contextualSpacing w:val="0"/>
              <w:jc w:val="center"/>
            </w:pPr>
            <w:r>
              <w:t>Probabilitas</w:t>
            </w:r>
          </w:p>
        </w:tc>
      </w:tr>
      <w:tr w:rsidR="00A57899" w:rsidTr="00BC104B">
        <w:tc>
          <w:tcPr>
            <w:tcW w:w="2038" w:type="dxa"/>
            <w:tcBorders>
              <w:left w:val="nil"/>
              <w:bottom w:val="nil"/>
              <w:right w:val="nil"/>
            </w:tcBorders>
          </w:tcPr>
          <w:p w:rsidR="00A57899" w:rsidRDefault="00A57899" w:rsidP="00BC104B">
            <w:pPr>
              <w:pStyle w:val="ListParagraph"/>
              <w:ind w:left="0"/>
              <w:contextualSpacing w:val="0"/>
              <w:jc w:val="both"/>
            </w:pPr>
            <w:r>
              <w:t>Konstanta</w:t>
            </w:r>
          </w:p>
        </w:tc>
        <w:tc>
          <w:tcPr>
            <w:tcW w:w="2038" w:type="dxa"/>
            <w:tcBorders>
              <w:left w:val="nil"/>
              <w:bottom w:val="nil"/>
              <w:right w:val="nil"/>
            </w:tcBorders>
            <w:vAlign w:val="bottom"/>
          </w:tcPr>
          <w:p w:rsidR="00A57899" w:rsidRPr="006461A8" w:rsidRDefault="00A57899" w:rsidP="00BC104B">
            <w:pPr>
              <w:rPr>
                <w:color w:val="000000"/>
                <w:lang w:eastAsia="id-ID"/>
              </w:rPr>
            </w:pPr>
            <w:r w:rsidRPr="006461A8">
              <w:rPr>
                <w:color w:val="000000"/>
                <w:lang w:eastAsia="id-ID"/>
              </w:rPr>
              <w:t>9,355318</w:t>
            </w:r>
          </w:p>
        </w:tc>
        <w:tc>
          <w:tcPr>
            <w:tcW w:w="2038" w:type="dxa"/>
            <w:tcBorders>
              <w:left w:val="nil"/>
              <w:bottom w:val="nil"/>
              <w:right w:val="nil"/>
            </w:tcBorders>
            <w:vAlign w:val="bottom"/>
          </w:tcPr>
          <w:p w:rsidR="00A57899" w:rsidRPr="006461A8" w:rsidRDefault="00A57899" w:rsidP="00BC104B">
            <w:pPr>
              <w:jc w:val="center"/>
              <w:rPr>
                <w:color w:val="000000"/>
                <w:lang w:eastAsia="id-ID"/>
              </w:rPr>
            </w:pPr>
            <w:r w:rsidRPr="006461A8">
              <w:rPr>
                <w:color w:val="000000"/>
                <w:lang w:eastAsia="id-ID"/>
              </w:rPr>
              <w:t>15,98370</w:t>
            </w:r>
          </w:p>
        </w:tc>
        <w:tc>
          <w:tcPr>
            <w:tcW w:w="2039" w:type="dxa"/>
            <w:tcBorders>
              <w:left w:val="nil"/>
              <w:bottom w:val="nil"/>
              <w:right w:val="nil"/>
            </w:tcBorders>
            <w:vAlign w:val="bottom"/>
          </w:tcPr>
          <w:p w:rsidR="00A57899" w:rsidRPr="006461A8" w:rsidRDefault="00A57899" w:rsidP="00BC104B">
            <w:pPr>
              <w:jc w:val="center"/>
              <w:rPr>
                <w:color w:val="000000"/>
                <w:lang w:eastAsia="id-ID"/>
              </w:rPr>
            </w:pPr>
            <w:r w:rsidRPr="006461A8">
              <w:rPr>
                <w:color w:val="000000"/>
                <w:lang w:eastAsia="id-ID"/>
              </w:rPr>
              <w:t>0,0000</w:t>
            </w:r>
          </w:p>
        </w:tc>
      </w:tr>
      <w:tr w:rsidR="00A57899" w:rsidTr="00BC104B">
        <w:tc>
          <w:tcPr>
            <w:tcW w:w="2038" w:type="dxa"/>
            <w:tcBorders>
              <w:top w:val="nil"/>
              <w:left w:val="nil"/>
              <w:bottom w:val="nil"/>
              <w:right w:val="nil"/>
            </w:tcBorders>
          </w:tcPr>
          <w:p w:rsidR="00A57899" w:rsidRDefault="00A57899" w:rsidP="00BC104B">
            <w:pPr>
              <w:pStyle w:val="ListParagraph"/>
              <w:ind w:left="0"/>
              <w:contextualSpacing w:val="0"/>
              <w:jc w:val="both"/>
            </w:pPr>
            <w:r>
              <w:t xml:space="preserve">LnLuas_Areal </w:t>
            </w:r>
          </w:p>
        </w:tc>
        <w:tc>
          <w:tcPr>
            <w:tcW w:w="2038" w:type="dxa"/>
            <w:tcBorders>
              <w:top w:val="nil"/>
              <w:left w:val="nil"/>
              <w:bottom w:val="nil"/>
              <w:right w:val="nil"/>
            </w:tcBorders>
            <w:vAlign w:val="bottom"/>
          </w:tcPr>
          <w:p w:rsidR="00A57899" w:rsidRPr="006461A8" w:rsidRDefault="00A57899" w:rsidP="00BC104B">
            <w:pPr>
              <w:rPr>
                <w:color w:val="000000"/>
                <w:lang w:eastAsia="id-ID"/>
              </w:rPr>
            </w:pPr>
            <w:r w:rsidRPr="006461A8">
              <w:rPr>
                <w:color w:val="000000"/>
                <w:lang w:eastAsia="id-ID"/>
              </w:rPr>
              <w:t>0,320132***</w:t>
            </w:r>
          </w:p>
        </w:tc>
        <w:tc>
          <w:tcPr>
            <w:tcW w:w="2038" w:type="dxa"/>
            <w:tcBorders>
              <w:top w:val="nil"/>
              <w:left w:val="nil"/>
              <w:bottom w:val="nil"/>
              <w:right w:val="nil"/>
            </w:tcBorders>
            <w:vAlign w:val="bottom"/>
          </w:tcPr>
          <w:p w:rsidR="00A57899" w:rsidRPr="006461A8" w:rsidRDefault="00A57899" w:rsidP="00BC104B">
            <w:pPr>
              <w:jc w:val="center"/>
              <w:rPr>
                <w:color w:val="000000"/>
                <w:lang w:eastAsia="id-ID"/>
              </w:rPr>
            </w:pPr>
            <w:r w:rsidRPr="006461A8">
              <w:rPr>
                <w:color w:val="000000"/>
                <w:lang w:eastAsia="id-ID"/>
              </w:rPr>
              <w:t>3,694101</w:t>
            </w:r>
          </w:p>
        </w:tc>
        <w:tc>
          <w:tcPr>
            <w:tcW w:w="2039" w:type="dxa"/>
            <w:tcBorders>
              <w:top w:val="nil"/>
              <w:left w:val="nil"/>
              <w:bottom w:val="nil"/>
              <w:right w:val="nil"/>
            </w:tcBorders>
            <w:vAlign w:val="bottom"/>
          </w:tcPr>
          <w:p w:rsidR="00A57899" w:rsidRPr="006461A8" w:rsidRDefault="00A57899" w:rsidP="00BC104B">
            <w:pPr>
              <w:jc w:val="center"/>
              <w:rPr>
                <w:color w:val="000000"/>
                <w:lang w:eastAsia="id-ID"/>
              </w:rPr>
            </w:pPr>
            <w:r w:rsidRPr="006461A8">
              <w:rPr>
                <w:color w:val="000000"/>
                <w:lang w:eastAsia="id-ID"/>
              </w:rPr>
              <w:t>0,0005</w:t>
            </w:r>
          </w:p>
        </w:tc>
      </w:tr>
      <w:tr w:rsidR="00A57899" w:rsidTr="00BC104B">
        <w:tc>
          <w:tcPr>
            <w:tcW w:w="2038" w:type="dxa"/>
            <w:tcBorders>
              <w:top w:val="nil"/>
              <w:left w:val="nil"/>
              <w:bottom w:val="nil"/>
              <w:right w:val="nil"/>
            </w:tcBorders>
          </w:tcPr>
          <w:p w:rsidR="00A57899" w:rsidRDefault="00A57899" w:rsidP="00BC104B">
            <w:pPr>
              <w:pStyle w:val="ListParagraph"/>
              <w:ind w:left="0"/>
              <w:contextualSpacing w:val="0"/>
              <w:jc w:val="both"/>
            </w:pPr>
            <w:r>
              <w:t>LnBasis_Janjang</w:t>
            </w:r>
          </w:p>
        </w:tc>
        <w:tc>
          <w:tcPr>
            <w:tcW w:w="2038" w:type="dxa"/>
            <w:tcBorders>
              <w:top w:val="nil"/>
              <w:left w:val="nil"/>
              <w:bottom w:val="nil"/>
              <w:right w:val="nil"/>
            </w:tcBorders>
            <w:vAlign w:val="bottom"/>
          </w:tcPr>
          <w:p w:rsidR="00A57899" w:rsidRPr="006461A8" w:rsidRDefault="00A57899" w:rsidP="00BC104B">
            <w:pPr>
              <w:rPr>
                <w:color w:val="000000"/>
                <w:vertAlign w:val="superscript"/>
                <w:lang w:eastAsia="id-ID"/>
              </w:rPr>
            </w:pPr>
            <w:r w:rsidRPr="006461A8">
              <w:rPr>
                <w:color w:val="000000"/>
                <w:lang w:eastAsia="id-ID"/>
              </w:rPr>
              <w:t>0,021606</w:t>
            </w:r>
            <w:r w:rsidRPr="006461A8">
              <w:rPr>
                <w:color w:val="000000"/>
                <w:vertAlign w:val="superscript"/>
                <w:lang w:eastAsia="id-ID"/>
              </w:rPr>
              <w:t>ns</w:t>
            </w:r>
          </w:p>
        </w:tc>
        <w:tc>
          <w:tcPr>
            <w:tcW w:w="2038" w:type="dxa"/>
            <w:tcBorders>
              <w:top w:val="nil"/>
              <w:left w:val="nil"/>
              <w:bottom w:val="nil"/>
              <w:right w:val="nil"/>
            </w:tcBorders>
            <w:vAlign w:val="bottom"/>
          </w:tcPr>
          <w:p w:rsidR="00A57899" w:rsidRPr="006461A8" w:rsidRDefault="00A57899" w:rsidP="00BC104B">
            <w:pPr>
              <w:jc w:val="center"/>
              <w:rPr>
                <w:color w:val="000000"/>
                <w:lang w:eastAsia="id-ID"/>
              </w:rPr>
            </w:pPr>
            <w:r w:rsidRPr="006461A8">
              <w:rPr>
                <w:color w:val="000000"/>
                <w:lang w:eastAsia="id-ID"/>
              </w:rPr>
              <w:t>0,246686</w:t>
            </w:r>
          </w:p>
        </w:tc>
        <w:tc>
          <w:tcPr>
            <w:tcW w:w="2039" w:type="dxa"/>
            <w:tcBorders>
              <w:top w:val="nil"/>
              <w:left w:val="nil"/>
              <w:bottom w:val="nil"/>
              <w:right w:val="nil"/>
            </w:tcBorders>
            <w:vAlign w:val="bottom"/>
          </w:tcPr>
          <w:p w:rsidR="00A57899" w:rsidRPr="006461A8" w:rsidRDefault="00A57899" w:rsidP="00BC104B">
            <w:pPr>
              <w:jc w:val="center"/>
              <w:rPr>
                <w:color w:val="000000"/>
                <w:lang w:eastAsia="id-ID"/>
              </w:rPr>
            </w:pPr>
            <w:r w:rsidRPr="006461A8">
              <w:rPr>
                <w:color w:val="000000"/>
                <w:lang w:eastAsia="id-ID"/>
              </w:rPr>
              <w:t>0,8061</w:t>
            </w:r>
          </w:p>
        </w:tc>
      </w:tr>
      <w:tr w:rsidR="00A57899" w:rsidTr="00BC104B">
        <w:tc>
          <w:tcPr>
            <w:tcW w:w="2038" w:type="dxa"/>
            <w:tcBorders>
              <w:top w:val="nil"/>
              <w:left w:val="nil"/>
              <w:bottom w:val="nil"/>
              <w:right w:val="nil"/>
            </w:tcBorders>
          </w:tcPr>
          <w:p w:rsidR="00A57899" w:rsidRDefault="00A57899" w:rsidP="00BC104B">
            <w:pPr>
              <w:pStyle w:val="ListParagraph"/>
              <w:ind w:left="0"/>
              <w:contextualSpacing w:val="0"/>
              <w:jc w:val="both"/>
            </w:pPr>
            <w:r>
              <w:t>LnUmur_Tanaman</w:t>
            </w:r>
          </w:p>
        </w:tc>
        <w:tc>
          <w:tcPr>
            <w:tcW w:w="2038" w:type="dxa"/>
            <w:tcBorders>
              <w:top w:val="nil"/>
              <w:left w:val="nil"/>
              <w:bottom w:val="nil"/>
              <w:right w:val="nil"/>
            </w:tcBorders>
            <w:vAlign w:val="bottom"/>
          </w:tcPr>
          <w:p w:rsidR="00A57899" w:rsidRPr="006461A8" w:rsidRDefault="00A57899" w:rsidP="00BC104B">
            <w:pPr>
              <w:rPr>
                <w:color w:val="000000"/>
                <w:lang w:val="en-US" w:eastAsia="id-ID"/>
              </w:rPr>
            </w:pPr>
            <w:r w:rsidRPr="006461A8">
              <w:rPr>
                <w:color w:val="000000"/>
                <w:lang w:eastAsia="id-ID"/>
              </w:rPr>
              <w:t>-0,528047</w:t>
            </w:r>
            <w:r w:rsidRPr="006461A8">
              <w:rPr>
                <w:color w:val="000000"/>
                <w:lang w:val="en-US" w:eastAsia="id-ID"/>
              </w:rPr>
              <w:t>***</w:t>
            </w:r>
          </w:p>
        </w:tc>
        <w:tc>
          <w:tcPr>
            <w:tcW w:w="2038" w:type="dxa"/>
            <w:tcBorders>
              <w:top w:val="nil"/>
              <w:left w:val="nil"/>
              <w:bottom w:val="nil"/>
              <w:right w:val="nil"/>
            </w:tcBorders>
            <w:vAlign w:val="bottom"/>
          </w:tcPr>
          <w:p w:rsidR="00A57899" w:rsidRPr="006461A8" w:rsidRDefault="00A57899" w:rsidP="00BC104B">
            <w:pPr>
              <w:jc w:val="center"/>
              <w:rPr>
                <w:color w:val="000000"/>
                <w:lang w:eastAsia="id-ID"/>
              </w:rPr>
            </w:pPr>
            <w:r w:rsidRPr="006461A8">
              <w:rPr>
                <w:color w:val="000000"/>
                <w:lang w:eastAsia="id-ID"/>
              </w:rPr>
              <w:t>-5,668397</w:t>
            </w:r>
          </w:p>
        </w:tc>
        <w:tc>
          <w:tcPr>
            <w:tcW w:w="2039" w:type="dxa"/>
            <w:tcBorders>
              <w:top w:val="nil"/>
              <w:left w:val="nil"/>
              <w:bottom w:val="nil"/>
              <w:right w:val="nil"/>
            </w:tcBorders>
            <w:vAlign w:val="bottom"/>
          </w:tcPr>
          <w:p w:rsidR="00A57899" w:rsidRPr="006461A8" w:rsidRDefault="00A57899" w:rsidP="00BC104B">
            <w:pPr>
              <w:jc w:val="center"/>
              <w:rPr>
                <w:color w:val="000000"/>
                <w:lang w:eastAsia="id-ID"/>
              </w:rPr>
            </w:pPr>
            <w:r w:rsidRPr="006461A8">
              <w:rPr>
                <w:color w:val="000000"/>
                <w:lang w:eastAsia="id-ID"/>
              </w:rPr>
              <w:t>0,0000</w:t>
            </w:r>
          </w:p>
        </w:tc>
      </w:tr>
      <w:tr w:rsidR="00A57899" w:rsidTr="00BC104B">
        <w:tc>
          <w:tcPr>
            <w:tcW w:w="2038" w:type="dxa"/>
            <w:tcBorders>
              <w:top w:val="nil"/>
              <w:left w:val="nil"/>
              <w:bottom w:val="nil"/>
              <w:right w:val="nil"/>
            </w:tcBorders>
          </w:tcPr>
          <w:p w:rsidR="00A57899" w:rsidRDefault="00A57899" w:rsidP="00BC104B">
            <w:pPr>
              <w:pStyle w:val="ListParagraph"/>
              <w:ind w:left="0"/>
              <w:contextualSpacing w:val="0"/>
              <w:jc w:val="both"/>
            </w:pPr>
            <w:r>
              <w:t>LnTenaga_Kerja</w:t>
            </w:r>
          </w:p>
        </w:tc>
        <w:tc>
          <w:tcPr>
            <w:tcW w:w="2038" w:type="dxa"/>
            <w:tcBorders>
              <w:top w:val="nil"/>
              <w:left w:val="nil"/>
              <w:bottom w:val="nil"/>
              <w:right w:val="nil"/>
            </w:tcBorders>
            <w:vAlign w:val="bottom"/>
          </w:tcPr>
          <w:p w:rsidR="00A57899" w:rsidRPr="006461A8" w:rsidRDefault="00A57899" w:rsidP="00BC104B">
            <w:pPr>
              <w:rPr>
                <w:color w:val="000000"/>
                <w:lang w:eastAsia="id-ID"/>
              </w:rPr>
            </w:pPr>
            <w:r w:rsidRPr="006461A8">
              <w:rPr>
                <w:color w:val="000000"/>
                <w:lang w:eastAsia="id-ID"/>
              </w:rPr>
              <w:t>0,624871***</w:t>
            </w:r>
          </w:p>
        </w:tc>
        <w:tc>
          <w:tcPr>
            <w:tcW w:w="2038" w:type="dxa"/>
            <w:tcBorders>
              <w:top w:val="nil"/>
              <w:left w:val="nil"/>
              <w:bottom w:val="nil"/>
              <w:right w:val="nil"/>
            </w:tcBorders>
            <w:vAlign w:val="bottom"/>
          </w:tcPr>
          <w:p w:rsidR="00A57899" w:rsidRPr="006461A8" w:rsidRDefault="00A57899" w:rsidP="00BC104B">
            <w:pPr>
              <w:jc w:val="center"/>
              <w:rPr>
                <w:color w:val="000000"/>
                <w:lang w:eastAsia="id-ID"/>
              </w:rPr>
            </w:pPr>
            <w:r w:rsidRPr="006461A8">
              <w:rPr>
                <w:color w:val="000000"/>
                <w:lang w:eastAsia="id-ID"/>
              </w:rPr>
              <w:t>7,810601</w:t>
            </w:r>
          </w:p>
        </w:tc>
        <w:tc>
          <w:tcPr>
            <w:tcW w:w="2039" w:type="dxa"/>
            <w:tcBorders>
              <w:top w:val="nil"/>
              <w:left w:val="nil"/>
              <w:bottom w:val="nil"/>
              <w:right w:val="nil"/>
            </w:tcBorders>
            <w:vAlign w:val="bottom"/>
          </w:tcPr>
          <w:p w:rsidR="00A57899" w:rsidRPr="006461A8" w:rsidRDefault="00A57899" w:rsidP="00BC104B">
            <w:pPr>
              <w:jc w:val="center"/>
              <w:rPr>
                <w:color w:val="000000"/>
                <w:lang w:eastAsia="id-ID"/>
              </w:rPr>
            </w:pPr>
            <w:r w:rsidRPr="006461A8">
              <w:rPr>
                <w:color w:val="000000"/>
                <w:lang w:eastAsia="id-ID"/>
              </w:rPr>
              <w:t>0,0000</w:t>
            </w:r>
          </w:p>
        </w:tc>
      </w:tr>
      <w:tr w:rsidR="00A57899" w:rsidTr="00BC104B">
        <w:tc>
          <w:tcPr>
            <w:tcW w:w="2038" w:type="dxa"/>
            <w:tcBorders>
              <w:top w:val="nil"/>
              <w:left w:val="nil"/>
              <w:bottom w:val="single" w:sz="4" w:space="0" w:color="000000" w:themeColor="text1"/>
              <w:right w:val="nil"/>
            </w:tcBorders>
          </w:tcPr>
          <w:p w:rsidR="00A57899" w:rsidRDefault="00A57899" w:rsidP="00BC104B">
            <w:pPr>
              <w:pStyle w:val="ListParagraph"/>
              <w:ind w:left="0"/>
              <w:contextualSpacing w:val="0"/>
              <w:jc w:val="both"/>
            </w:pPr>
            <w:r>
              <w:lastRenderedPageBreak/>
              <w:t>LnPupuk</w:t>
            </w:r>
          </w:p>
        </w:tc>
        <w:tc>
          <w:tcPr>
            <w:tcW w:w="2038" w:type="dxa"/>
            <w:tcBorders>
              <w:top w:val="nil"/>
              <w:left w:val="nil"/>
              <w:bottom w:val="single" w:sz="4" w:space="0" w:color="000000" w:themeColor="text1"/>
              <w:right w:val="nil"/>
            </w:tcBorders>
            <w:vAlign w:val="bottom"/>
          </w:tcPr>
          <w:p w:rsidR="00A57899" w:rsidRPr="006461A8" w:rsidRDefault="00A57899" w:rsidP="00BC104B">
            <w:pPr>
              <w:rPr>
                <w:color w:val="000000"/>
                <w:lang w:eastAsia="id-ID"/>
              </w:rPr>
            </w:pPr>
            <w:r w:rsidRPr="006461A8">
              <w:rPr>
                <w:color w:val="000000"/>
                <w:lang w:eastAsia="id-ID"/>
              </w:rPr>
              <w:t>0,053781***</w:t>
            </w:r>
          </w:p>
        </w:tc>
        <w:tc>
          <w:tcPr>
            <w:tcW w:w="2038" w:type="dxa"/>
            <w:tcBorders>
              <w:top w:val="nil"/>
              <w:left w:val="nil"/>
              <w:bottom w:val="single" w:sz="4" w:space="0" w:color="000000" w:themeColor="text1"/>
              <w:right w:val="nil"/>
            </w:tcBorders>
            <w:vAlign w:val="bottom"/>
          </w:tcPr>
          <w:p w:rsidR="00A57899" w:rsidRPr="006461A8" w:rsidRDefault="00A57899" w:rsidP="00BC104B">
            <w:pPr>
              <w:jc w:val="center"/>
              <w:rPr>
                <w:color w:val="000000"/>
                <w:lang w:eastAsia="id-ID"/>
              </w:rPr>
            </w:pPr>
            <w:r w:rsidRPr="006461A8">
              <w:rPr>
                <w:color w:val="000000"/>
                <w:lang w:eastAsia="id-ID"/>
              </w:rPr>
              <w:t>2,751485</w:t>
            </w:r>
          </w:p>
        </w:tc>
        <w:tc>
          <w:tcPr>
            <w:tcW w:w="2039" w:type="dxa"/>
            <w:tcBorders>
              <w:top w:val="nil"/>
              <w:left w:val="nil"/>
              <w:bottom w:val="single" w:sz="4" w:space="0" w:color="000000" w:themeColor="text1"/>
              <w:right w:val="nil"/>
            </w:tcBorders>
            <w:vAlign w:val="bottom"/>
          </w:tcPr>
          <w:p w:rsidR="00A57899" w:rsidRPr="006461A8" w:rsidRDefault="00A57899" w:rsidP="00BC104B">
            <w:pPr>
              <w:jc w:val="center"/>
              <w:rPr>
                <w:color w:val="000000"/>
                <w:lang w:eastAsia="id-ID"/>
              </w:rPr>
            </w:pPr>
            <w:r w:rsidRPr="006461A8">
              <w:rPr>
                <w:color w:val="000000"/>
                <w:lang w:eastAsia="id-ID"/>
              </w:rPr>
              <w:t>0,0081</w:t>
            </w:r>
          </w:p>
        </w:tc>
      </w:tr>
      <w:tr w:rsidR="00A57899" w:rsidTr="00BC104B">
        <w:tc>
          <w:tcPr>
            <w:tcW w:w="2038" w:type="dxa"/>
            <w:tcBorders>
              <w:left w:val="nil"/>
              <w:bottom w:val="nil"/>
              <w:right w:val="nil"/>
            </w:tcBorders>
            <w:vAlign w:val="bottom"/>
          </w:tcPr>
          <w:p w:rsidR="00A57899" w:rsidRPr="006461A8" w:rsidRDefault="00A57899" w:rsidP="00BC104B">
            <w:pPr>
              <w:rPr>
                <w:color w:val="000000"/>
                <w:lang w:eastAsia="id-ID"/>
              </w:rPr>
            </w:pPr>
            <w:r w:rsidRPr="006461A8">
              <w:rPr>
                <w:color w:val="000000"/>
                <w:lang w:eastAsia="id-ID"/>
              </w:rPr>
              <w:t>f-statistik</w:t>
            </w:r>
          </w:p>
        </w:tc>
        <w:tc>
          <w:tcPr>
            <w:tcW w:w="2038" w:type="dxa"/>
            <w:tcBorders>
              <w:left w:val="nil"/>
              <w:bottom w:val="nil"/>
              <w:right w:val="nil"/>
            </w:tcBorders>
            <w:vAlign w:val="center"/>
          </w:tcPr>
          <w:p w:rsidR="00A57899" w:rsidRPr="006461A8" w:rsidRDefault="00A57899" w:rsidP="00BC104B">
            <w:pPr>
              <w:rPr>
                <w:color w:val="000000"/>
                <w:lang w:eastAsia="id-ID"/>
              </w:rPr>
            </w:pPr>
            <w:r w:rsidRPr="006461A8">
              <w:rPr>
                <w:color w:val="000000"/>
                <w:lang w:eastAsia="id-ID"/>
              </w:rPr>
              <w:t>621,0114</w:t>
            </w:r>
          </w:p>
        </w:tc>
        <w:tc>
          <w:tcPr>
            <w:tcW w:w="2038" w:type="dxa"/>
            <w:tcBorders>
              <w:left w:val="nil"/>
              <w:bottom w:val="nil"/>
              <w:right w:val="nil"/>
            </w:tcBorders>
          </w:tcPr>
          <w:p w:rsidR="00A57899" w:rsidRDefault="00A57899" w:rsidP="00BC104B">
            <w:pPr>
              <w:pStyle w:val="ListParagraph"/>
              <w:ind w:left="0"/>
              <w:contextualSpacing w:val="0"/>
              <w:jc w:val="both"/>
            </w:pPr>
          </w:p>
        </w:tc>
        <w:tc>
          <w:tcPr>
            <w:tcW w:w="2039" w:type="dxa"/>
            <w:tcBorders>
              <w:left w:val="nil"/>
              <w:bottom w:val="nil"/>
              <w:right w:val="nil"/>
            </w:tcBorders>
          </w:tcPr>
          <w:p w:rsidR="00A57899" w:rsidRDefault="00A57899" w:rsidP="00BC104B">
            <w:pPr>
              <w:pStyle w:val="ListParagraph"/>
              <w:ind w:left="0"/>
              <w:contextualSpacing w:val="0"/>
              <w:jc w:val="both"/>
            </w:pPr>
          </w:p>
        </w:tc>
      </w:tr>
      <w:tr w:rsidR="00A57899" w:rsidTr="00BC104B">
        <w:tc>
          <w:tcPr>
            <w:tcW w:w="2038" w:type="dxa"/>
            <w:tcBorders>
              <w:top w:val="nil"/>
              <w:left w:val="nil"/>
              <w:bottom w:val="nil"/>
              <w:right w:val="nil"/>
            </w:tcBorders>
            <w:vAlign w:val="bottom"/>
          </w:tcPr>
          <w:p w:rsidR="00A57899" w:rsidRPr="006461A8" w:rsidRDefault="00A57899" w:rsidP="00BC104B">
            <w:pPr>
              <w:rPr>
                <w:color w:val="000000"/>
                <w:lang w:eastAsia="id-ID"/>
              </w:rPr>
            </w:pPr>
            <w:r w:rsidRPr="006461A8">
              <w:rPr>
                <w:color w:val="000000"/>
                <w:lang w:eastAsia="id-ID"/>
              </w:rPr>
              <w:t>Prob (F-statistik)</w:t>
            </w:r>
          </w:p>
        </w:tc>
        <w:tc>
          <w:tcPr>
            <w:tcW w:w="2038" w:type="dxa"/>
            <w:tcBorders>
              <w:top w:val="nil"/>
              <w:left w:val="nil"/>
              <w:bottom w:val="nil"/>
              <w:right w:val="nil"/>
            </w:tcBorders>
            <w:vAlign w:val="center"/>
          </w:tcPr>
          <w:p w:rsidR="00A57899" w:rsidRPr="006461A8" w:rsidRDefault="00A57899" w:rsidP="00BC104B">
            <w:pPr>
              <w:rPr>
                <w:color w:val="000000"/>
                <w:lang w:eastAsia="id-ID"/>
              </w:rPr>
            </w:pPr>
            <w:r w:rsidRPr="006461A8">
              <w:rPr>
                <w:color w:val="000000"/>
                <w:lang w:eastAsia="id-ID"/>
              </w:rPr>
              <w:t>0,000000</w:t>
            </w:r>
          </w:p>
        </w:tc>
        <w:tc>
          <w:tcPr>
            <w:tcW w:w="2038" w:type="dxa"/>
            <w:tcBorders>
              <w:top w:val="nil"/>
              <w:left w:val="nil"/>
              <w:bottom w:val="nil"/>
              <w:right w:val="nil"/>
            </w:tcBorders>
          </w:tcPr>
          <w:p w:rsidR="00A57899" w:rsidRDefault="00A57899" w:rsidP="00BC104B">
            <w:pPr>
              <w:pStyle w:val="ListParagraph"/>
              <w:ind w:left="0"/>
              <w:contextualSpacing w:val="0"/>
              <w:jc w:val="both"/>
            </w:pPr>
          </w:p>
        </w:tc>
        <w:tc>
          <w:tcPr>
            <w:tcW w:w="2039" w:type="dxa"/>
            <w:tcBorders>
              <w:top w:val="nil"/>
              <w:left w:val="nil"/>
              <w:bottom w:val="nil"/>
              <w:right w:val="nil"/>
            </w:tcBorders>
          </w:tcPr>
          <w:p w:rsidR="00A57899" w:rsidRDefault="00A57899" w:rsidP="00BC104B">
            <w:pPr>
              <w:pStyle w:val="ListParagraph"/>
              <w:ind w:left="0"/>
              <w:contextualSpacing w:val="0"/>
              <w:jc w:val="both"/>
            </w:pPr>
          </w:p>
        </w:tc>
      </w:tr>
      <w:tr w:rsidR="00A57899" w:rsidTr="00BC104B">
        <w:tc>
          <w:tcPr>
            <w:tcW w:w="2038" w:type="dxa"/>
            <w:tcBorders>
              <w:top w:val="nil"/>
              <w:left w:val="nil"/>
              <w:bottom w:val="nil"/>
              <w:right w:val="nil"/>
            </w:tcBorders>
            <w:vAlign w:val="bottom"/>
          </w:tcPr>
          <w:p w:rsidR="00A57899" w:rsidRPr="006461A8" w:rsidRDefault="00A57899" w:rsidP="00BC104B">
            <w:pPr>
              <w:rPr>
                <w:color w:val="000000"/>
                <w:lang w:eastAsia="id-ID"/>
              </w:rPr>
            </w:pPr>
            <w:r w:rsidRPr="006461A8">
              <w:rPr>
                <w:color w:val="000000"/>
                <w:lang w:eastAsia="id-ID"/>
              </w:rPr>
              <w:t>R-Squared</w:t>
            </w:r>
          </w:p>
        </w:tc>
        <w:tc>
          <w:tcPr>
            <w:tcW w:w="2038" w:type="dxa"/>
            <w:tcBorders>
              <w:top w:val="nil"/>
              <w:left w:val="nil"/>
              <w:bottom w:val="nil"/>
              <w:right w:val="nil"/>
            </w:tcBorders>
            <w:vAlign w:val="center"/>
          </w:tcPr>
          <w:p w:rsidR="00A57899" w:rsidRPr="006461A8" w:rsidRDefault="00A57899" w:rsidP="00BC104B">
            <w:pPr>
              <w:rPr>
                <w:color w:val="000000"/>
                <w:lang w:eastAsia="id-ID"/>
              </w:rPr>
            </w:pPr>
            <w:r w:rsidRPr="006461A8">
              <w:rPr>
                <w:color w:val="000000"/>
                <w:lang w:eastAsia="id-ID"/>
              </w:rPr>
              <w:t>0,983529</w:t>
            </w:r>
          </w:p>
        </w:tc>
        <w:tc>
          <w:tcPr>
            <w:tcW w:w="2038" w:type="dxa"/>
            <w:tcBorders>
              <w:top w:val="nil"/>
              <w:left w:val="nil"/>
              <w:bottom w:val="nil"/>
              <w:right w:val="nil"/>
            </w:tcBorders>
          </w:tcPr>
          <w:p w:rsidR="00A57899" w:rsidRDefault="00A57899" w:rsidP="00BC104B">
            <w:pPr>
              <w:pStyle w:val="ListParagraph"/>
              <w:ind w:left="0"/>
              <w:contextualSpacing w:val="0"/>
              <w:jc w:val="both"/>
            </w:pPr>
          </w:p>
        </w:tc>
        <w:tc>
          <w:tcPr>
            <w:tcW w:w="2039" w:type="dxa"/>
            <w:tcBorders>
              <w:top w:val="nil"/>
              <w:left w:val="nil"/>
              <w:bottom w:val="nil"/>
              <w:right w:val="nil"/>
            </w:tcBorders>
          </w:tcPr>
          <w:p w:rsidR="00A57899" w:rsidRDefault="00A57899" w:rsidP="00BC104B">
            <w:pPr>
              <w:pStyle w:val="ListParagraph"/>
              <w:ind w:left="0"/>
              <w:contextualSpacing w:val="0"/>
              <w:jc w:val="both"/>
            </w:pPr>
          </w:p>
        </w:tc>
      </w:tr>
      <w:tr w:rsidR="00A57899" w:rsidTr="00BC104B">
        <w:tc>
          <w:tcPr>
            <w:tcW w:w="2038" w:type="dxa"/>
            <w:tcBorders>
              <w:top w:val="nil"/>
              <w:left w:val="nil"/>
              <w:right w:val="nil"/>
            </w:tcBorders>
            <w:vAlign w:val="center"/>
          </w:tcPr>
          <w:p w:rsidR="00A57899" w:rsidRPr="006461A8" w:rsidRDefault="00A57899" w:rsidP="00BC104B">
            <w:pPr>
              <w:rPr>
                <w:color w:val="000000"/>
                <w:lang w:eastAsia="id-ID"/>
              </w:rPr>
            </w:pPr>
            <w:r w:rsidRPr="006461A8">
              <w:rPr>
                <w:color w:val="000000"/>
                <w:lang w:eastAsia="id-ID"/>
              </w:rPr>
              <w:t>Adjusted R-Squared</w:t>
            </w:r>
          </w:p>
        </w:tc>
        <w:tc>
          <w:tcPr>
            <w:tcW w:w="2038" w:type="dxa"/>
            <w:tcBorders>
              <w:top w:val="nil"/>
              <w:left w:val="nil"/>
              <w:right w:val="nil"/>
            </w:tcBorders>
            <w:vAlign w:val="center"/>
          </w:tcPr>
          <w:p w:rsidR="00A57899" w:rsidRPr="006461A8" w:rsidRDefault="00A57899" w:rsidP="00BC104B">
            <w:pPr>
              <w:rPr>
                <w:color w:val="000000"/>
                <w:lang w:eastAsia="id-ID"/>
              </w:rPr>
            </w:pPr>
            <w:r w:rsidRPr="006461A8">
              <w:rPr>
                <w:color w:val="000000"/>
                <w:lang w:eastAsia="id-ID"/>
              </w:rPr>
              <w:t>0,981945</w:t>
            </w:r>
          </w:p>
        </w:tc>
        <w:tc>
          <w:tcPr>
            <w:tcW w:w="2038" w:type="dxa"/>
            <w:tcBorders>
              <w:top w:val="nil"/>
              <w:left w:val="nil"/>
              <w:right w:val="nil"/>
            </w:tcBorders>
          </w:tcPr>
          <w:p w:rsidR="00A57899" w:rsidRDefault="00A57899" w:rsidP="00BC104B">
            <w:pPr>
              <w:pStyle w:val="ListParagraph"/>
              <w:ind w:left="0"/>
              <w:contextualSpacing w:val="0"/>
              <w:jc w:val="both"/>
            </w:pPr>
          </w:p>
        </w:tc>
        <w:tc>
          <w:tcPr>
            <w:tcW w:w="2039" w:type="dxa"/>
            <w:tcBorders>
              <w:top w:val="nil"/>
              <w:left w:val="nil"/>
              <w:right w:val="nil"/>
            </w:tcBorders>
          </w:tcPr>
          <w:p w:rsidR="00A57899" w:rsidRDefault="00A57899" w:rsidP="00BC104B">
            <w:pPr>
              <w:pStyle w:val="ListParagraph"/>
              <w:ind w:left="0"/>
              <w:contextualSpacing w:val="0"/>
              <w:jc w:val="both"/>
            </w:pPr>
          </w:p>
        </w:tc>
      </w:tr>
    </w:tbl>
    <w:p w:rsidR="00A57899" w:rsidRDefault="00A57899" w:rsidP="00A57899">
      <w:pPr>
        <w:pStyle w:val="ListParagraph"/>
        <w:ind w:left="0"/>
        <w:contextualSpacing w:val="0"/>
        <w:jc w:val="both"/>
        <w:rPr>
          <w:sz w:val="22"/>
          <w:szCs w:val="22"/>
        </w:rPr>
      </w:pPr>
      <w:r>
        <w:rPr>
          <w:sz w:val="22"/>
          <w:szCs w:val="22"/>
        </w:rPr>
        <w:t>Sumber: Analisis data primer, 2017</w:t>
      </w:r>
    </w:p>
    <w:p w:rsidR="00A57899" w:rsidRPr="006461A8" w:rsidRDefault="00A57899" w:rsidP="00A57899">
      <w:pPr>
        <w:pStyle w:val="ListParagraph"/>
        <w:ind w:left="993" w:hanging="993"/>
        <w:jc w:val="both"/>
        <w:rPr>
          <w:sz w:val="22"/>
          <w:szCs w:val="22"/>
        </w:rPr>
      </w:pPr>
      <w:r>
        <w:rPr>
          <w:sz w:val="22"/>
          <w:szCs w:val="22"/>
        </w:rPr>
        <w:t>Keterangan:</w:t>
      </w:r>
      <w:r>
        <w:rPr>
          <w:sz w:val="22"/>
          <w:szCs w:val="22"/>
        </w:rPr>
        <w:tab/>
        <w:t xml:space="preserve">***     </w:t>
      </w:r>
      <w:r w:rsidRPr="00EE1763">
        <w:rPr>
          <w:sz w:val="22"/>
          <w:szCs w:val="22"/>
        </w:rPr>
        <w:t>= Signifikan pada tingkat kepercayaan</w:t>
      </w:r>
      <w:r>
        <w:rPr>
          <w:sz w:val="22"/>
          <w:szCs w:val="22"/>
        </w:rPr>
        <w:t xml:space="preserve"> </w:t>
      </w:r>
      <w:r w:rsidRPr="006461A8">
        <w:rPr>
          <w:sz w:val="22"/>
          <w:szCs w:val="22"/>
        </w:rPr>
        <w:t>99%.</w:t>
      </w:r>
    </w:p>
    <w:p w:rsidR="00A57899" w:rsidRPr="006461A8" w:rsidRDefault="00A57899" w:rsidP="00A57899">
      <w:pPr>
        <w:pStyle w:val="ListParagraph"/>
        <w:ind w:left="982" w:firstLine="458"/>
        <w:jc w:val="both"/>
        <w:rPr>
          <w:sz w:val="22"/>
          <w:szCs w:val="22"/>
        </w:rPr>
      </w:pPr>
      <w:r>
        <w:rPr>
          <w:sz w:val="22"/>
          <w:szCs w:val="22"/>
        </w:rPr>
        <w:t xml:space="preserve">**       </w:t>
      </w:r>
      <w:r w:rsidRPr="00EE1763">
        <w:rPr>
          <w:sz w:val="22"/>
          <w:szCs w:val="22"/>
        </w:rPr>
        <w:t xml:space="preserve">= Signifikan pada tingkat kepercayaan </w:t>
      </w:r>
      <w:r>
        <w:rPr>
          <w:sz w:val="22"/>
          <w:szCs w:val="22"/>
        </w:rPr>
        <w:t xml:space="preserve"> </w:t>
      </w:r>
      <w:r w:rsidRPr="006461A8">
        <w:rPr>
          <w:sz w:val="22"/>
          <w:szCs w:val="22"/>
        </w:rPr>
        <w:t>95%.</w:t>
      </w:r>
    </w:p>
    <w:p w:rsidR="00A57899" w:rsidRPr="006461A8" w:rsidRDefault="00A57899" w:rsidP="00A57899">
      <w:pPr>
        <w:pStyle w:val="ListParagraph"/>
        <w:ind w:left="971" w:firstLine="469"/>
        <w:jc w:val="both"/>
        <w:rPr>
          <w:sz w:val="22"/>
          <w:szCs w:val="22"/>
        </w:rPr>
      </w:pPr>
      <w:r>
        <w:rPr>
          <w:sz w:val="22"/>
          <w:szCs w:val="22"/>
        </w:rPr>
        <w:t xml:space="preserve">*         </w:t>
      </w:r>
      <w:r w:rsidRPr="00EE1763">
        <w:rPr>
          <w:sz w:val="22"/>
          <w:szCs w:val="22"/>
        </w:rPr>
        <w:t>= Signifikan pada tingkat kepercayaan</w:t>
      </w:r>
      <w:r>
        <w:rPr>
          <w:sz w:val="22"/>
          <w:szCs w:val="22"/>
        </w:rPr>
        <w:t xml:space="preserve"> </w:t>
      </w:r>
      <w:r w:rsidRPr="006461A8">
        <w:rPr>
          <w:sz w:val="22"/>
          <w:szCs w:val="22"/>
        </w:rPr>
        <w:t xml:space="preserve"> 90%.</w:t>
      </w:r>
    </w:p>
    <w:p w:rsidR="00A57899" w:rsidRPr="00C30788" w:rsidRDefault="00A57899" w:rsidP="00A57899">
      <w:pPr>
        <w:pStyle w:val="ListParagraph"/>
        <w:ind w:firstLine="720"/>
        <w:jc w:val="both"/>
        <w:rPr>
          <w:sz w:val="22"/>
          <w:szCs w:val="22"/>
        </w:rPr>
      </w:pPr>
      <w:r>
        <w:rPr>
          <w:sz w:val="22"/>
          <w:szCs w:val="22"/>
        </w:rPr>
        <w:t xml:space="preserve">ns       </w:t>
      </w:r>
      <w:r w:rsidRPr="00EE1763">
        <w:rPr>
          <w:sz w:val="22"/>
          <w:szCs w:val="22"/>
        </w:rPr>
        <w:t>= Tidak signifikan</w:t>
      </w:r>
    </w:p>
    <w:p w:rsidR="00A57899" w:rsidRDefault="00A57899" w:rsidP="00A57899">
      <w:pPr>
        <w:ind w:firstLine="720"/>
        <w:jc w:val="both"/>
        <w:rPr>
          <w:sz w:val="22"/>
          <w:szCs w:val="22"/>
        </w:rPr>
      </w:pPr>
      <w:r w:rsidRPr="00C30788">
        <w:rPr>
          <w:sz w:val="22"/>
          <w:szCs w:val="22"/>
        </w:rPr>
        <w:t xml:space="preserve">Hasil uji analisis regresi berganda menunjukkan nilai koefisien determinasi sebesar 0,9835 yang artinya bahwa garis regresi dengan faktor produksi luas areal (X1), basis janjang (X2), umur tanaman (X3), tenaga kerja (X4), dan pupuk (X5) dapat dijelaskan  98,35%  dengan variabel-variabel tersebut, sedangkan sisanya sebesar 1,65% dijelaskan oleh variabel residual yaitu variabel yang tidak dimasukkan dalam model (Tabel 1). Tingkat signifikan yang digunakan dalam </w:t>
      </w:r>
      <w:r>
        <w:rPr>
          <w:sz w:val="22"/>
          <w:szCs w:val="22"/>
        </w:rPr>
        <w:t xml:space="preserve"> </w:t>
      </w:r>
      <w:r w:rsidRPr="00C30788">
        <w:rPr>
          <w:sz w:val="22"/>
          <w:szCs w:val="22"/>
        </w:rPr>
        <w:t xml:space="preserve">penelitian ini adalah 99%, 95%, dan 90% (α = 1%, α = 5% , α = 10%). </w:t>
      </w:r>
    </w:p>
    <w:p w:rsidR="00A57899" w:rsidRPr="00C30788" w:rsidRDefault="00A57899" w:rsidP="00A57899">
      <w:pPr>
        <w:ind w:firstLine="720"/>
        <w:jc w:val="both"/>
        <w:rPr>
          <w:sz w:val="22"/>
          <w:szCs w:val="22"/>
        </w:rPr>
      </w:pPr>
      <w:r w:rsidRPr="00C30788">
        <w:rPr>
          <w:sz w:val="22"/>
          <w:szCs w:val="22"/>
        </w:rPr>
        <w:t>Berdasarkan hasil uji f diperoleh nilai f-statistik &gt;</w:t>
      </w:r>
      <w:r>
        <w:rPr>
          <w:sz w:val="22"/>
          <w:szCs w:val="22"/>
        </w:rPr>
        <w:t xml:space="preserve"> </w:t>
      </w:r>
      <w:r w:rsidRPr="00C30788">
        <w:rPr>
          <w:sz w:val="22"/>
          <w:szCs w:val="22"/>
        </w:rPr>
        <w:t>f-tabel (2,39) dengan taraf nyata 5%. Jadi  dapat disimpulkan bahwa minimal terdapat satu variabel bebas yang berpengaruh nyata terhadap produksi TBS pada taraf nyata 5%. Sementara itu hasil uji t menunjukkan bahwa variabel luas areal (X1), umur tanaman (X3), tenaga kerja (X4), dan pupuk (X5) berpengaruh nyata terhadap produksi TBS dengan nilai p &lt; α = 5%. Hasil ini juga dapat dilihat melalui nilai t hitung &gt;</w:t>
      </w:r>
      <w:r>
        <w:rPr>
          <w:sz w:val="22"/>
          <w:szCs w:val="22"/>
        </w:rPr>
        <w:t xml:space="preserve"> </w:t>
      </w:r>
      <w:r w:rsidRPr="00C30788">
        <w:rPr>
          <w:sz w:val="22"/>
          <w:szCs w:val="22"/>
        </w:rPr>
        <w:t>t tabel (1,67469) pada semua faktor produksi tersebut dengan taraf nyata 5%, maka H</w:t>
      </w:r>
      <w:r w:rsidRPr="00C30788">
        <w:rPr>
          <w:sz w:val="22"/>
          <w:szCs w:val="22"/>
          <w:vertAlign w:val="subscript"/>
        </w:rPr>
        <w:t>0</w:t>
      </w:r>
      <w:r>
        <w:rPr>
          <w:sz w:val="22"/>
          <w:szCs w:val="22"/>
          <w:vertAlign w:val="subscript"/>
        </w:rPr>
        <w:t xml:space="preserve"> </w:t>
      </w:r>
      <w:r w:rsidRPr="00C30788">
        <w:rPr>
          <w:sz w:val="22"/>
          <w:szCs w:val="22"/>
        </w:rPr>
        <w:t>ditolak yang artinya semua faktor produksi tersebut signifikan.</w:t>
      </w:r>
    </w:p>
    <w:p w:rsidR="00A57899" w:rsidRPr="00C30788" w:rsidRDefault="00A57899" w:rsidP="00A57899">
      <w:pPr>
        <w:ind w:firstLine="720"/>
        <w:jc w:val="both"/>
        <w:rPr>
          <w:sz w:val="22"/>
          <w:szCs w:val="22"/>
        </w:rPr>
      </w:pPr>
      <w:r w:rsidRPr="00C30788">
        <w:rPr>
          <w:sz w:val="22"/>
          <w:szCs w:val="22"/>
        </w:rPr>
        <w:t>Berdasarkan hasil uji t, variabel luas areal berpengaruh positif terhadap produksi TBS dengan tingkat signifikansi 99%, hal ini sesuai dengan hipotesis yaitu semakin luas areal perkebunan kelapa sawit maka produksi TBS yang dihasilkan akan semakin tinggi. Luas areal dapat menentukan banyaknya pohon kelapa sawit yang akan dipanen</w:t>
      </w:r>
      <w:r>
        <w:rPr>
          <w:sz w:val="22"/>
          <w:szCs w:val="22"/>
        </w:rPr>
        <w:t xml:space="preserve"> </w:t>
      </w:r>
      <w:r w:rsidRPr="00C30788">
        <w:rPr>
          <w:sz w:val="22"/>
          <w:szCs w:val="22"/>
        </w:rPr>
        <w:t>sehingga faktor luas areal merupakan salah satu faktor yang berpengaruh terhadap produksi TBS kelapa sawit. Nilai elastisitas luas areal adalah 0,320132yang artinya, setiap  penambahan luas areal satu persen akan meningkatkan produksi TBS sebesar 0,320132 persen dengan faktor-faktor produksi lain tetap (</w:t>
      </w:r>
      <w:r w:rsidRPr="00C30788">
        <w:rPr>
          <w:i/>
          <w:sz w:val="22"/>
          <w:szCs w:val="22"/>
        </w:rPr>
        <w:t>cateris paribus</w:t>
      </w:r>
      <w:r w:rsidRPr="00C30788">
        <w:rPr>
          <w:sz w:val="22"/>
          <w:szCs w:val="22"/>
        </w:rPr>
        <w:t xml:space="preserve">). Hal ini sejalan dengan kajian sebelumnya </w:t>
      </w:r>
      <w:r w:rsidRPr="00C30788">
        <w:rPr>
          <w:sz w:val="22"/>
          <w:szCs w:val="22"/>
        </w:rPr>
        <w:fldChar w:fldCharType="begin" w:fldLock="1"/>
      </w:r>
      <w:r w:rsidRPr="00C30788">
        <w:rPr>
          <w:sz w:val="22"/>
          <w:szCs w:val="22"/>
        </w:rPr>
        <w:instrText>ADDIN CSL_CITATION { "citationItems" : [ { "id" : "ITEM-1", "itemData" : { "abstract" : "The research aim to to know the factors influencing coconut production of sawit and to know contribution storey;level earnings of coconut farming of sawit. to earnings of family. The result of research indicate that from result analyse there is two variable having an effect on reality that is wide of seeds amount and farm while labour factor, fertilize herbicide and urea have an effect on do not reality. ursuant to research is also got that accepted earnings is farmer follow the example of coconut farming of sawit [in] countryside of Makartitama per hectare equal to Rp.7.718.341,66. Level of contribution earnings of farmer to earnings of farmer family follow the example of equal to Rp. 7.718.341,66 per year or 76,89%, while contribution earnings of farmer of other effort is equal to Rp. 1.245.183,33 per year or 12,41% and external earnings contribution of farming equal to Rp. 1.073.333,30 or 30,69%, with value of R/C equal to Rp 4,55 with the meaning that each;every Rp 1,00 production cost will give acceptance equal to Rp 4,55.", "author" : [ { "dropping-particle" : "", "family" : "Septianita", "given" : "", "non-dropping-particle" : "", "parse-names" : false, "suffix" : "" } ], "container-title" : "Agronobis", "id" : "ITEM-1", "issue" : "2", "issued" : { "date-parts" : [ [ "2009" ] ] }, "page" : "78-85", "title" : "Faktor-Faktor yang Mempengaruhi Produksi Kelapa Sawit ( Elaeis quinensis Jack) dan Kontribusinya Terhadap Pendapatan Keluarga di Desa Makartitama Kec. Peninjauan Kab. OKU", "type" : "article-journal", "volume" : "1" }, "uris" : [ "http://www.mendeley.com/documents/?uuid=3628b479-8899-40db-99ed-4fa237c976cb" ] } ], "mendeley" : { "formattedCitation" : "(Septianita, 2009)", "plainTextFormattedCitation" : "(Septianita, 2009)", "previouslyFormattedCitation" : "(Septianita, 2009)" }, "properties" : {  }, "schema" : "https://github.com/citation-style-language/schema/raw/master/csl-citation.json" }</w:instrText>
      </w:r>
      <w:r w:rsidRPr="00C30788">
        <w:rPr>
          <w:sz w:val="22"/>
          <w:szCs w:val="22"/>
        </w:rPr>
        <w:fldChar w:fldCharType="separate"/>
      </w:r>
      <w:r w:rsidRPr="00C30788">
        <w:rPr>
          <w:sz w:val="22"/>
          <w:szCs w:val="22"/>
        </w:rPr>
        <w:t>(Septianita, 2009)</w:t>
      </w:r>
      <w:r w:rsidRPr="00C30788">
        <w:rPr>
          <w:sz w:val="22"/>
          <w:szCs w:val="22"/>
        </w:rPr>
        <w:fldChar w:fldCharType="end"/>
      </w:r>
      <w:r w:rsidRPr="00C30788">
        <w:rPr>
          <w:sz w:val="22"/>
          <w:szCs w:val="22"/>
        </w:rPr>
        <w:t xml:space="preserve"> yang menyebutkan bahwa faktor produksi luas lahan berpengaruh nyata terhadap produksi dengan koefisien</w:t>
      </w:r>
      <w:r>
        <w:rPr>
          <w:sz w:val="22"/>
          <w:szCs w:val="22"/>
        </w:rPr>
        <w:t xml:space="preserve"> </w:t>
      </w:r>
      <w:r w:rsidRPr="00C30788">
        <w:rPr>
          <w:sz w:val="22"/>
          <w:szCs w:val="22"/>
        </w:rPr>
        <w:t>regresi sebesar 17,249 dengan nilai elastisitas lebih dari satu berarti dengan penambahan faktor tersebut akan meningkatkan produksi.</w:t>
      </w:r>
    </w:p>
    <w:p w:rsidR="00A57899" w:rsidRPr="00C30788" w:rsidRDefault="00A57899" w:rsidP="00A57899">
      <w:pPr>
        <w:ind w:firstLine="720"/>
        <w:jc w:val="both"/>
        <w:outlineLvl w:val="0"/>
        <w:rPr>
          <w:sz w:val="22"/>
          <w:szCs w:val="22"/>
        </w:rPr>
      </w:pPr>
      <w:r w:rsidRPr="00C30788">
        <w:rPr>
          <w:sz w:val="22"/>
          <w:szCs w:val="22"/>
        </w:rPr>
        <w:t>Basis janjang merupkan kebijakan batasan banyaknya janjang yang harus dipanen dalam satu blok untuk setiap tenaga kerja panen. Setiap blok memiliki basis janjang yang berbeda-beda, tergantung pada umur tanaman dan tinggi tanaman. Semakin tinggi umur tanaman, maka basis janjang akan semakin rendah. Hasil uji  t pada tabel 1 menunjukkan bahwa basis janjang tidak mempengaruhi produksi TBS kelapa sawit dengan tingkat signifikan 99% dan 90% karena p-value basis janjang 0,8061 yang lebih besar dari α (0,1). Hal ini karena basis janjang hanya sebagai batas minimal janjang yang harus dipanen oleh tenaga kerja panen di setiap blok dan sebagai patokan untuk menentukan kebutuhan jumlah tenaga kerja panen setiap harinya. Namun, keadaan dilapangan sangat berbeda saat panen puncak karena jumlah tenaga kerja yang dibutuhkan tidak mencukupi, sehingga tenaga kerja panen harus memanen lebih banyak dari basis janjang yang ditetapkan.</w:t>
      </w:r>
    </w:p>
    <w:p w:rsidR="00A57899" w:rsidRPr="00C30788" w:rsidRDefault="00A57899" w:rsidP="00A57899">
      <w:pPr>
        <w:ind w:firstLine="720"/>
        <w:jc w:val="both"/>
        <w:outlineLvl w:val="0"/>
        <w:rPr>
          <w:sz w:val="22"/>
          <w:szCs w:val="22"/>
        </w:rPr>
      </w:pPr>
      <w:r>
        <w:rPr>
          <w:sz w:val="22"/>
          <w:szCs w:val="22"/>
        </w:rPr>
        <w:lastRenderedPageBreak/>
        <w:t>Hasil a</w:t>
      </w:r>
      <w:r w:rsidRPr="00C30788">
        <w:rPr>
          <w:sz w:val="22"/>
          <w:szCs w:val="22"/>
        </w:rPr>
        <w:t>nalisis regresi menunjukkan bahwa  variabel umur tanaman berpengaruh nyata terhadap produksi TBS dengan tingkat signifikansi 99%. Nilai koefisien regresi produksi adalah -0,528027 persen, menunjukkan bahwa peningkatan satu persen umur tanaman akan menurunkan produksi TBS sebesar -0,528027 persen dengan anggapan faktor-faktor lainnya tetap (</w:t>
      </w:r>
      <w:r w:rsidRPr="00C30788">
        <w:rPr>
          <w:i/>
          <w:sz w:val="22"/>
          <w:szCs w:val="22"/>
        </w:rPr>
        <w:t>cateris paribus</w:t>
      </w:r>
      <w:r w:rsidRPr="00C30788">
        <w:rPr>
          <w:sz w:val="22"/>
          <w:szCs w:val="22"/>
        </w:rPr>
        <w:t xml:space="preserve">). Melalui hasil penelitian </w:t>
      </w:r>
      <w:r w:rsidRPr="00C30788">
        <w:rPr>
          <w:sz w:val="22"/>
          <w:szCs w:val="22"/>
        </w:rPr>
        <w:fldChar w:fldCharType="begin" w:fldLock="1"/>
      </w:r>
      <w:r>
        <w:rPr>
          <w:sz w:val="22"/>
          <w:szCs w:val="22"/>
        </w:rPr>
        <w:instrText>ADDIN CSL_CITATION { "citationItems" : [ { "id" : "ITEM-1", "itemData" : { "DOI" : "10.21776/ub.habitat.2017.028.3.13", "abstract" : "This research aims to analyze the technical efficiency and source of technical inefficiency of palm oil production. The data used are secondary data from agricultural census survey in 2013 with a sample of 1229 farmer. Technical efficiency is measured by using stochastic frontier production function and is estimated using MLE method assuming that Cobb-Doughlas is the functional form of palm oil. From the research result, it is known that the factors that influence the technical efficiency of palm oil production in West Kalimantan Province are a number of productive trees, plant age, urea fertilizer, SP36, NPK, labor and dummy pesticide. Furthermore, variables of the percentage of own capital, membership of cooperative and membership of contract farming are influencing to reduce technical inefficiency. Therefore, efforts to improve the technical efficiency is to increase the role of the cooperative to its members, and increase the involvement of palm oil farmers in the plasma pattern.", "author" : [ { "dropping-particle" : "", "family" : "Ismiasih", "given" : "", "non-dropping-particle" : "", "parse-names" : false, "suffix" : "" } ], "container-title" : "Jurnal Habitat", "id" : "ITEM-1", "issue" : "3", "issued" : { "date-parts" : [ [ "2017" ] ] }, "page" : "91-98", "title" : "Technical Efficiency of Palm Oil Production in West Kalimantan", "type" : "article-journal", "volume" : "28" }, "uris" : [ "http://www.mendeley.com/documents/?uuid=78c16aac-3c86-4902-96dc-1f09a0789034" ] } ], "mendeley" : { "formattedCitation" : "(Ismiasih, 2017)", "manualFormatting" : "Ismiasih (2017)", "plainTextFormattedCitation" : "(Ismiasih, 2017)", "previouslyFormattedCitation" : "(Ismiasih, 2017)" }, "properties" : {  }, "schema" : "https://github.com/citation-style-language/schema/raw/master/csl-citation.json" }</w:instrText>
      </w:r>
      <w:r w:rsidRPr="00C30788">
        <w:rPr>
          <w:sz w:val="22"/>
          <w:szCs w:val="22"/>
        </w:rPr>
        <w:fldChar w:fldCharType="separate"/>
      </w:r>
      <w:r w:rsidRPr="00C30788">
        <w:rPr>
          <w:sz w:val="22"/>
          <w:szCs w:val="22"/>
        </w:rPr>
        <w:t>Ismiasih</w:t>
      </w:r>
      <w:r>
        <w:rPr>
          <w:sz w:val="22"/>
          <w:szCs w:val="22"/>
        </w:rPr>
        <w:t xml:space="preserve"> </w:t>
      </w:r>
      <w:r w:rsidRPr="00C30788">
        <w:rPr>
          <w:sz w:val="22"/>
          <w:szCs w:val="22"/>
        </w:rPr>
        <w:t>(2017)</w:t>
      </w:r>
      <w:r w:rsidRPr="00C30788">
        <w:rPr>
          <w:sz w:val="22"/>
          <w:szCs w:val="22"/>
        </w:rPr>
        <w:fldChar w:fldCharType="end"/>
      </w:r>
      <w:r w:rsidRPr="00C30788">
        <w:rPr>
          <w:sz w:val="22"/>
          <w:szCs w:val="22"/>
        </w:rPr>
        <w:t>,</w:t>
      </w:r>
      <w:r>
        <w:rPr>
          <w:sz w:val="22"/>
          <w:szCs w:val="22"/>
        </w:rPr>
        <w:t xml:space="preserve"> </w:t>
      </w:r>
      <w:r w:rsidRPr="00C30788">
        <w:rPr>
          <w:sz w:val="22"/>
          <w:szCs w:val="22"/>
        </w:rPr>
        <w:t>menyebutkan bahwa variabel umur tanaman berpengaruh nyata terhadap produktivitas tanaman kelapa sawit. Umur tanaman merupakan salah satu faktor penting dalam produksi TBS, sebab melalui umur tanaman dapat diketahui tanaman tersebut pada masa produktif atau unprodukif.</w:t>
      </w:r>
    </w:p>
    <w:p w:rsidR="00A57899" w:rsidRPr="00C30788" w:rsidRDefault="00A57899" w:rsidP="00A57899">
      <w:pPr>
        <w:ind w:firstLine="720"/>
        <w:jc w:val="both"/>
        <w:outlineLvl w:val="0"/>
        <w:rPr>
          <w:sz w:val="22"/>
          <w:szCs w:val="22"/>
        </w:rPr>
      </w:pPr>
      <w:r w:rsidRPr="00C30788">
        <w:rPr>
          <w:sz w:val="22"/>
          <w:szCs w:val="22"/>
        </w:rPr>
        <w:t>Berdasarkan hasi uji t, faktor tenaga kerja berpengaruh terhadap produksi TBS secara positif dengan tingkat signifikansi 99%. Koefisien regresi faktor tenaga kerja adalah 0,624871 yang menunjukkanapabila bahwa penggunaan faktor tenaga kerja ditingkatkan satu persen maka jumlah produksi TBS akan meningkat menjadi 0,320132 persen (</w:t>
      </w:r>
      <w:r w:rsidRPr="00C30788">
        <w:rPr>
          <w:i/>
          <w:sz w:val="22"/>
          <w:szCs w:val="22"/>
        </w:rPr>
        <w:t>cateris paribus</w:t>
      </w:r>
      <w:r w:rsidRPr="00C30788">
        <w:rPr>
          <w:sz w:val="22"/>
          <w:szCs w:val="22"/>
        </w:rPr>
        <w:t xml:space="preserve">). Selain itu hasil penelitian </w:t>
      </w:r>
      <w:r w:rsidRPr="00C30788">
        <w:rPr>
          <w:sz w:val="22"/>
          <w:szCs w:val="22"/>
        </w:rPr>
        <w:fldChar w:fldCharType="begin" w:fldLock="1"/>
      </w:r>
      <w:r w:rsidRPr="00C30788">
        <w:rPr>
          <w:sz w:val="22"/>
          <w:szCs w:val="22"/>
        </w:rPr>
        <w:instrText>ADDIN CSL_CITATION { "citationItems" : [ { "id" : "ITEM-1", "itemData" : { "abstract" : "To be able to grow and produce, palm oil requires the use of the factors of production optimally. This research aims to determine the factors that influence palm oil production in regency of Mukomuko Province of Bengkulu. Studies conducted in the Selagan Raya District and the District XIV Koto Mukomuko Regency in July 2012. Research area is selected purposively with 80 farmers selected as respondents with consideration whose have an oil palm growers have produced (plant age over 3 years). Data was collected through survey methods such as primary data and secondary data. The primary data is obtained through information collected from respondents using a structured questionnaire in a structured (questionnaire) covering the identity of respondents, institutional, land and livestock, as well as the accessibility of the area of oil palm production factors. And the secondary data is obtained from the Central Statistics Office and related institutions. The data obtained were analyzed by using a model of Cobb-Douglas production function which is processed by the analytical techniques OLS (Ordinary Least Square). The results showed that the factors affecting the palm oil production in the Mukomuko regency is the age of the plant significant positive rate of 37.90% and outpouring of labor sigbificant positive rate of 66.00%.", "author" : [ { "dropping-particle" : "", "family" : "Alfayanti", "given" : "", "non-dropping-particle" : "", "parse-names" : false, "suffix" : "" }, { "dropping-particle" : "", "family" : "Efendi", "given" : "Zul", "non-dropping-particle" : "", "parse-names" : false, "suffix" : "" } ], "container-title" : "Jurnal Agrisep Universitas Bengkulu", "id" : "ITEM-1", "issue" : "1", "issued" : { "date-parts" : [ [ "2013" ] ] }, "page" : "1-10", "title" : "Analisis Faktor-Faktor Yang Mempengaruhi Produksi Kelapa Sawit Rakyat Di Kabupaten Mukomuko", "type" : "article-journal", "volume" : "13" }, "uris" : [ "http://www.mendeley.com/documents/?uuid=8feeea42-b8a7-4986-a275-c596d8259f53" ] } ], "mendeley" : { "formattedCitation" : "(Alfayanti &amp; Efendi, 2013)", "plainTextFormattedCitation" : "(Alfayanti &amp; Efendi, 2013)", "previouslyFormattedCitation" : "(Alfayanti &amp; Efendi, 2013)" }, "properties" : {  }, "schema" : "https://github.com/citation-style-language/schema/raw/master/csl-citation.json" }</w:instrText>
      </w:r>
      <w:r w:rsidRPr="00C30788">
        <w:rPr>
          <w:sz w:val="22"/>
          <w:szCs w:val="22"/>
        </w:rPr>
        <w:fldChar w:fldCharType="separate"/>
      </w:r>
      <w:r w:rsidRPr="00C30788">
        <w:rPr>
          <w:sz w:val="22"/>
          <w:szCs w:val="22"/>
        </w:rPr>
        <w:t>(Alfayanti &amp; Efendi, 2013)</w:t>
      </w:r>
      <w:r w:rsidRPr="00C30788">
        <w:rPr>
          <w:sz w:val="22"/>
          <w:szCs w:val="22"/>
        </w:rPr>
        <w:fldChar w:fldCharType="end"/>
      </w:r>
      <w:r w:rsidRPr="00C30788">
        <w:rPr>
          <w:sz w:val="22"/>
          <w:szCs w:val="22"/>
        </w:rPr>
        <w:t xml:space="preserve"> juga menunjukkan bahwa jumlah tenaga kerja secara positif berpengaruh nyata terhadap produksi kelapa sawit, faktor tenaga kerja merupakan bagian dari faktor produksi yang penting</w:t>
      </w:r>
      <w:r>
        <w:rPr>
          <w:sz w:val="22"/>
          <w:szCs w:val="22"/>
        </w:rPr>
        <w:t xml:space="preserve"> </w:t>
      </w:r>
      <w:r w:rsidRPr="00C30788">
        <w:rPr>
          <w:sz w:val="22"/>
          <w:szCs w:val="22"/>
        </w:rPr>
        <w:t xml:space="preserve">dalam proses produksi. </w:t>
      </w:r>
      <w:r w:rsidRPr="00C30788">
        <w:rPr>
          <w:sz w:val="22"/>
          <w:szCs w:val="22"/>
          <w:shd w:val="clear" w:color="auto" w:fill="FFFFFF"/>
        </w:rPr>
        <w:t xml:space="preserve">Menurut Murphy </w:t>
      </w:r>
      <w:r w:rsidRPr="00C30788">
        <w:rPr>
          <w:i/>
          <w:sz w:val="22"/>
          <w:szCs w:val="22"/>
          <w:shd w:val="clear" w:color="auto" w:fill="FFFFFF"/>
        </w:rPr>
        <w:t xml:space="preserve">dalam </w:t>
      </w:r>
      <w:r w:rsidRPr="00C30788">
        <w:rPr>
          <w:sz w:val="22"/>
          <w:szCs w:val="22"/>
          <w:shd w:val="clear" w:color="auto" w:fill="FFFFFF"/>
        </w:rPr>
        <w:fldChar w:fldCharType="begin" w:fldLock="1"/>
      </w:r>
      <w:r w:rsidRPr="00C30788">
        <w:rPr>
          <w:sz w:val="22"/>
          <w:szCs w:val="22"/>
          <w:shd w:val="clear" w:color="auto" w:fill="FFFFFF"/>
        </w:rPr>
        <w:instrText>ADDIN CSL_CITATION { "citationItems" : [ { "id" : "ITEM-1", "itemData" : { "DOI" : "10.1016/j.eja.2016.11.002", "ISSN" : "1161-0301", "abstract" : "Oil palm, currently the world\u2019s main vegetable oil crop, is characterised by a large productivity and a long life span (\u226525 years). Peak oil yields of 12 t ha\u22121 yr\u22121 have been achieved in small plantations, and maximum theoretical yields as calculated with simulation models are 18.5 t oil ha\u22121 yr\u22121, yet average productivity worldwide has stagnated around 3 t oil ha\u22121 yr\u22121. Considering the threat of expansion into valuable rainforests, it is important that the factors underlying these existing yield gaps are understood and, where feasible, addressed. In this review, we present an overview of the available data on yield- determining, yield-limiting, and yield-reducing factors in oil palm; the effects of these factors on yield, as measured in case studies or calculated using computer models; and the underlying plant-physiological mechanisms. We distinguish four production levels: the potential, water-limited, nutrient-limited, and the actual yield. The potential yield over a plantation lifetime is determined by incoming photosyn- thetically active radiation (PAR), temperature, atmospheric CO2 concentration and planting material, assuming optimum plantation establishment, planting density (120\u2013150 palms per hectares), canopy management (30\u201360 leaves depending on palm age), pollination, and harvesting. Water-limited yields in environments with water deficits &gt;400 mm year\u22121 can be less than one-third of the potential yield, depending on additional factors such as temperature, wind speed, soil texture, and soil depth. Nutrient- limited yields of less than 50% of the potential yield have been recorded when nitrogen or potassium were not applied. Actual yields are influenced by yield-reducing factors such as unsuitable ground vegetation, pests, and diseases, and may be close to zero in case of severe infestations. Smallholders face particular constraints such as the use of counterfeit seed and insufficient fertiliser application. Closing yield gaps in existing plantations could increase global production by 15\u201320 Mt oil yr\u22121, which would limit the drive for further area expansion at a global scale. To increase yields in existing and future plantations in a sustainable way, all production factors mentioned need to be understood and addressed.", "author" : [ { "dropping-particle" : "", "family" : "Woittiez", "given" : "Lotte S", "non-dropping-particle" : "", "parse-names" : false, "suffix" : "" }, { "dropping-particle" : "Van", "family" : "Wijk", "given" : "Mark T", "non-dropping-particle" : "", "parse-names" : false, "suffix" : "" }, { "dropping-particle" : "", "family" : "Slingerland", "given" : "Maja", "non-dropping-particle" : "", "parse-names" : false, "suffix" : "" }, { "dropping-particle" : "Van", "family" : "Noordwijk", "given" : "Meine", "non-dropping-particle" : "", "parse-names" : false, "suffix" : "" }, { "dropping-particle" : "", "family" : "Giller", "given" : "Ken E", "non-dropping-particle" : "", "parse-names" : false, "suffix" : "" } ], "container-title" : "European Journal of Agronomy", "id" : "ITEM-1", "issued" : { "date-parts" : [ [ "2017" ] ] }, "page" : "57-77", "publisher" : "Elsevier B.V.", "title" : "Yield gaps in oil palm : A quantitative review of contributing factors", "type" : "article-journal", "volume" : "83" }, "uris" : [ "http://www.mendeley.com/documents/?uuid=66e96253-c07d-4ea5-92c0-c38f8752ea96" ] } ], "mendeley" : { "formattedCitation" : "(Woittiez et al., 2017)", "manualFormatting" : "Woittiez et al.(2017)", "plainTextFormattedCitation" : "(Woittiez et al., 2017)", "previouslyFormattedCitation" : "(Woittiez et al., 2017)" }, "properties" : {  }, "schema" : "https://github.com/citation-style-language/schema/raw/master/csl-citation.json" }</w:instrText>
      </w:r>
      <w:r w:rsidRPr="00C30788">
        <w:rPr>
          <w:sz w:val="22"/>
          <w:szCs w:val="22"/>
          <w:shd w:val="clear" w:color="auto" w:fill="FFFFFF"/>
        </w:rPr>
        <w:fldChar w:fldCharType="separate"/>
      </w:r>
      <w:r w:rsidRPr="00C30788">
        <w:rPr>
          <w:sz w:val="22"/>
          <w:szCs w:val="22"/>
          <w:shd w:val="clear" w:color="auto" w:fill="FFFFFF"/>
        </w:rPr>
        <w:t>Woittiez et al.(2017)</w:t>
      </w:r>
      <w:r w:rsidRPr="00C30788">
        <w:rPr>
          <w:sz w:val="22"/>
          <w:szCs w:val="22"/>
          <w:shd w:val="clear" w:color="auto" w:fill="FFFFFF"/>
        </w:rPr>
        <w:fldChar w:fldCharType="end"/>
      </w:r>
      <w:r w:rsidRPr="00C30788">
        <w:rPr>
          <w:sz w:val="22"/>
          <w:szCs w:val="22"/>
          <w:shd w:val="clear" w:color="auto" w:fill="FFFFFF"/>
        </w:rPr>
        <w:t>, kurangnya tenaga kerja, terutama untuk panen, adalah masalah utama di Malaysia, dan untuk tingkat yang lebih rendah di Indonesia, mengarah ke putaran panen yang panjang, yang mengakibatkan berkurangnya rendemen minyak, buah yang  terlalu matang (</w:t>
      </w:r>
      <w:r w:rsidRPr="00C30788">
        <w:rPr>
          <w:i/>
          <w:sz w:val="22"/>
          <w:szCs w:val="22"/>
          <w:shd w:val="clear" w:color="auto" w:fill="FFFFFF"/>
        </w:rPr>
        <w:t>over ripe</w:t>
      </w:r>
      <w:r w:rsidRPr="00C30788">
        <w:rPr>
          <w:sz w:val="22"/>
          <w:szCs w:val="22"/>
          <w:shd w:val="clear" w:color="auto" w:fill="FFFFFF"/>
        </w:rPr>
        <w:t>) dan buah mentah.</w:t>
      </w:r>
      <w:r>
        <w:rPr>
          <w:sz w:val="22"/>
          <w:szCs w:val="22"/>
          <w:shd w:val="clear" w:color="auto" w:fill="FFFFFF"/>
        </w:rPr>
        <w:t xml:space="preserve"> </w:t>
      </w:r>
      <w:r w:rsidRPr="00C30788">
        <w:rPr>
          <w:sz w:val="22"/>
          <w:szCs w:val="22"/>
        </w:rPr>
        <w:t>F</w:t>
      </w:r>
      <w:r>
        <w:rPr>
          <w:sz w:val="22"/>
          <w:szCs w:val="22"/>
        </w:rPr>
        <w:t>a</w:t>
      </w:r>
      <w:r w:rsidRPr="00C30788">
        <w:rPr>
          <w:sz w:val="22"/>
          <w:szCs w:val="22"/>
        </w:rPr>
        <w:t>ktor tenaga kerja mempengaruhi produksi TBS paling besar dari semua faktor produksi yang dipakai. Hal ini karena manusia atau tenaga kerja merupakan faktor yang penting dalam melakukan setiap pekerajaan sehingga kegiatan produksi tidak dapat berjalan dengan baik tanpa adanya menusia atau tenaga kerja, untuk itu faktor tenaga kerja memang perlu diperhatikan.</w:t>
      </w:r>
    </w:p>
    <w:p w:rsidR="00A57899" w:rsidRPr="00C30788" w:rsidRDefault="00A57899" w:rsidP="00A57899">
      <w:pPr>
        <w:ind w:firstLine="720"/>
        <w:jc w:val="both"/>
        <w:outlineLvl w:val="0"/>
        <w:rPr>
          <w:sz w:val="22"/>
          <w:szCs w:val="22"/>
        </w:rPr>
      </w:pPr>
      <w:r w:rsidRPr="00C30788">
        <w:rPr>
          <w:sz w:val="22"/>
          <w:szCs w:val="22"/>
        </w:rPr>
        <w:t>Berdasarkan uji secara parsial, faktor pupuk berpengaruh secara positif terhadap produksi TBS dengan tingkat signifikansi 99%. Faktor pupuk memiliki nilai elastisitas sebesar 0,05378. Artinya, penambahan pupuk pada produksi TBS sebesar satu persen akan meningkatkan produksi TBS sebesar 0,05378 persen dengan faktor produksi lain tetap (</w:t>
      </w:r>
      <w:r w:rsidRPr="00C30788">
        <w:rPr>
          <w:i/>
          <w:sz w:val="22"/>
          <w:szCs w:val="22"/>
        </w:rPr>
        <w:t>cateris paribus</w:t>
      </w:r>
      <w:r w:rsidRPr="00C30788">
        <w:rPr>
          <w:sz w:val="22"/>
          <w:szCs w:val="22"/>
        </w:rPr>
        <w:t xml:space="preserve">). Hasil penelitian </w:t>
      </w:r>
      <w:r w:rsidRPr="00C30788">
        <w:rPr>
          <w:sz w:val="22"/>
          <w:szCs w:val="22"/>
        </w:rPr>
        <w:fldChar w:fldCharType="begin" w:fldLock="1"/>
      </w:r>
      <w:r w:rsidRPr="00C30788">
        <w:rPr>
          <w:sz w:val="22"/>
          <w:szCs w:val="22"/>
        </w:rPr>
        <w:instrText>ADDIN CSL_CITATION { "citationItems" : [ { "id" : "ITEM-1", "itemData" : { "abstract" : "Penunasan influence and NPK fertilizer production plant Phonska against oil palm (Elaeis guineensis jacq). The aim of research to determine the effect penunasan, Phoska NPK fertilizer and its interaction with the production of oil palm plantations. Research carried out for 4 months, starting from May to August 2010. The location of the research in the Garden State Agricultural Polytechnic Pilot Samarinda. Research arranged in a randomized block design (RAK) with 2 x 4 factorial experiment 3 times the number of replicates. The treatment consists of two factors: The first factor is Penunasan (P) which comprises, namely: p0 = without penunasan, p1 = with penunasan. The second factor is Phonska NPK fertilizer which consist of 4 levels, namely: m0 = 0 kg / plant, m1 = 0.5 kg / staple crops, m2 = 1.0 kg / plant, m3 = 1.5 kg / plant. The results showed the treatment penunasan very significant effect on the weight and number of TBS TBS. Penunasan best treatment on p1 (with penunasan). , NPK fertilizer treatment Phonska very significant effect on the increase in production of oil palm plantations. There is interaction between treatment penunasan with NPK fertilizer production peningkataan Phonska against oil palm plantations.", "author" : [ { "dropping-particle" : "", "family" : "Hamini", "given" : "", "non-dropping-particle" : "", "parse-names" : false, "suffix" : "" }, { "dropping-particle" : "", "family" : "Nigrahini", "given" : "Tutik", "non-dropping-particle" : "", "parse-names" : false, "suffix" : "" }, { "dropping-particle" : "", "family" : "Purwati", "given" : "", "non-dropping-particle" : "", "parse-names" : false, "suffix" : "" } ], "container-title" : "Jurnal Ilmu Pertanian", "id" : "ITEM-1", "issue" : "2", "issued" : { "date-parts" : [ [ "2012" ] ] }, "page" : "49-54", "title" : "Penunasan Influence and Administration of NPK Fertilizer Production Plant Phonska Against Palm Oil (Elaeis guineensis jacq)", "type" : "article-journal", "volume" : "1" }, "uris" : [ "http://www.mendeley.com/documents/?uuid=e1caddb2-17d7-4528-b3d3-ae76269d70f1" ] } ], "mendeley" : { "formattedCitation" : "(Hamini, Nigrahini, &amp; Purwati, 2012)", "manualFormatting" : "Hamini et al. (2012)", "plainTextFormattedCitation" : "(Hamini, Nigrahini, &amp; Purwati, 2012)", "previouslyFormattedCitation" : "(Hamini, Nigrahini, &amp; Purwati, 2012)" }, "properties" : {  }, "schema" : "https://github.com/citation-style-language/schema/raw/master/csl-citation.json" }</w:instrText>
      </w:r>
      <w:r w:rsidRPr="00C30788">
        <w:rPr>
          <w:sz w:val="22"/>
          <w:szCs w:val="22"/>
        </w:rPr>
        <w:fldChar w:fldCharType="separate"/>
      </w:r>
      <w:r w:rsidRPr="00C30788">
        <w:rPr>
          <w:sz w:val="22"/>
          <w:szCs w:val="22"/>
        </w:rPr>
        <w:t>Hamini et al. (2012)</w:t>
      </w:r>
      <w:r w:rsidRPr="00C30788">
        <w:rPr>
          <w:sz w:val="22"/>
          <w:szCs w:val="22"/>
        </w:rPr>
        <w:fldChar w:fldCharType="end"/>
      </w:r>
      <w:r w:rsidRPr="00C30788">
        <w:rPr>
          <w:sz w:val="22"/>
          <w:szCs w:val="22"/>
        </w:rPr>
        <w:t xml:space="preserve"> menunjukkan perlakuan pemberian pupuk NPK Phonska berpengaruh sangat nyata terhadap peningkataan produksi tanaman kelapa sawit, dimana perlakuan terbaik pada perlakuan M2 (1,0 kg / pokok tanaman) dengan rata-rata berat TBS pada perlakuan m2 berturut – turut adalah 29,67 kg (panen pertama), 33,17 kg (panen kedua), 39,83 kg (panen ketiga) dan 30,83 kg (panen keempat). Hasil penelitian </w:t>
      </w:r>
      <w:r w:rsidRPr="00C30788">
        <w:rPr>
          <w:sz w:val="22"/>
          <w:szCs w:val="22"/>
        </w:rPr>
        <w:fldChar w:fldCharType="begin" w:fldLock="1"/>
      </w:r>
      <w:r w:rsidRPr="00C30788">
        <w:rPr>
          <w:sz w:val="22"/>
          <w:szCs w:val="22"/>
        </w:rPr>
        <w:instrText>ADDIN CSL_CITATION { "citationItems" : [ { "id" : "ITEM-1", "itemData" : { "abstract" : "This study aims to determine the growth and production response of eight oil palm varities to fertilizer of N, P, K, Mg and B. This research was conducted from January and December 2015 in Sitiung experimental Garden West Sumatra province. The was conducted in the form factrorial experiment using randomized block design . The first factor is the eight oil palm varieties, which consists TS1, TS3, LTC, SMB, PPKS 540 (540), Dumpy, DMP and DMK. The second factor is the comnination of dosage of fertilizer per palm, which consist of 1) 500 g urea + 200 g SP 36 + 750 g KCl + 500 g Kieserit + 50 g of borax, 2) 750 g of urea +1000 g SP 36 +750 g KCl + 500 g Kieserit + 50 g of borax, 3) 1400 g urea + 950 g SP 36 + 1150 g KCl + 350 g Kieserit + 60 g borax, 4) 1 500 g urea + 1000 g SP 36 + 1750 g KCl + 1500 g Kieserit, 5) 1000 g of urea + 800 g SP36 + 1500 g KCl + 700 g Kieserit + 55 g of borax and 6) 500 g urea + 400 g SP36 + 750 g KCl + 350 g Kieserit + 27.5 g borax. The results showed that the growth and produstion respon of oil palm to fertilizer different according variety. Dumpy variety produce most weight fresh fruit namely 4.35 kg on comination of fertilization dosage 1500 g urea + 1000 g SP 36 + 1750 g KCl + 1500 g kieserite. TS3 variety produce most number of leave ( 43.43 leaves/palm) on combination of fertilizer dosage 500 g urea + 400 g SP36 + 750 g KCl + 350 g kieserit + 27,5 g boraks.", "author" : [ { "dropping-particle" : "", "family" : "Matana", "given" : "Yulianus R.", "non-dropping-particle" : "", "parse-names" : false, "suffix" : "" }, { "dropping-particle" : "", "family" : "Mashud", "given" : "Nurhaini", "non-dropping-particle" : "", "parse-names" : false, "suffix" : "" } ], "container-title" : "Buletin Palma", "id" : "ITEM-1", "issue" : "2", "issued" : { "date-parts" : [ [ "2016" ] ] }, "page" : "105-113", "title" : "Response Growth and Yield of Eight Varieties Oilpalm TM to N , P , K , Mg , and B Fertilizer", "type" : "article-journal", "volume" : "17" }, "uris" : [ "http://www.mendeley.com/documents/?uuid=89c392d6-0502-41e0-a18e-1b18111090b3" ] } ], "mendeley" : { "formattedCitation" : "(Matana &amp; Mashud, 2016)", "manualFormatting" : "(Matana &amp; Mashud (2016)", "plainTextFormattedCitation" : "(Matana &amp; Mashud, 2016)", "previouslyFormattedCitation" : "(Matana &amp; Mashud, 2016)" }, "properties" : {  }, "schema" : "https://github.com/citation-style-language/schema/raw/master/csl-citation.json" }</w:instrText>
      </w:r>
      <w:r w:rsidRPr="00C30788">
        <w:rPr>
          <w:sz w:val="22"/>
          <w:szCs w:val="22"/>
        </w:rPr>
        <w:fldChar w:fldCharType="separate"/>
      </w:r>
      <w:r w:rsidRPr="00C30788">
        <w:rPr>
          <w:sz w:val="22"/>
          <w:szCs w:val="22"/>
        </w:rPr>
        <w:t>(Matana &amp; Mashud (2016)</w:t>
      </w:r>
      <w:r w:rsidRPr="00C30788">
        <w:rPr>
          <w:sz w:val="22"/>
          <w:szCs w:val="22"/>
        </w:rPr>
        <w:fldChar w:fldCharType="end"/>
      </w:r>
      <w:r w:rsidRPr="00C30788">
        <w:rPr>
          <w:sz w:val="22"/>
          <w:szCs w:val="22"/>
        </w:rPr>
        <w:t xml:space="preserve">  menunjukkan bahwa tandan buah segar paling berat diperoleh dari kombinasi pupuk 1.000 g urea + 800 g SP36 + 1.500 g KCl + 700 g kieserit + 55 g boraks. Pupuk dalam proses produksi TBS digunakan sebagai pemenuh kebutuhan hara pada tanaman kelapa sawit untuk dapat meningkatkan produksi TBS.</w:t>
      </w:r>
    </w:p>
    <w:p w:rsidR="00A57899" w:rsidRDefault="00A57899" w:rsidP="00A57899">
      <w:pPr>
        <w:jc w:val="both"/>
        <w:outlineLvl w:val="0"/>
        <w:rPr>
          <w:b/>
          <w:sz w:val="22"/>
          <w:szCs w:val="22"/>
        </w:rPr>
      </w:pPr>
    </w:p>
    <w:p w:rsidR="00A57899" w:rsidRPr="00C30788" w:rsidRDefault="00A57899" w:rsidP="00A57899">
      <w:pPr>
        <w:jc w:val="both"/>
        <w:outlineLvl w:val="0"/>
        <w:rPr>
          <w:b/>
          <w:sz w:val="22"/>
          <w:szCs w:val="22"/>
        </w:rPr>
      </w:pPr>
      <w:r w:rsidRPr="00C30788">
        <w:rPr>
          <w:b/>
          <w:sz w:val="22"/>
          <w:szCs w:val="22"/>
        </w:rPr>
        <w:t>Pengaru</w:t>
      </w:r>
      <w:r>
        <w:rPr>
          <w:b/>
          <w:sz w:val="22"/>
          <w:szCs w:val="22"/>
        </w:rPr>
        <w:t>h Kebijakan Pengurangan Mandor Terhadap P</w:t>
      </w:r>
      <w:r w:rsidRPr="00C30788">
        <w:rPr>
          <w:b/>
          <w:sz w:val="22"/>
          <w:szCs w:val="22"/>
        </w:rPr>
        <w:t xml:space="preserve">roduksi dan </w:t>
      </w:r>
      <w:r w:rsidRPr="00C30788">
        <w:rPr>
          <w:b/>
          <w:i/>
          <w:sz w:val="22"/>
          <w:szCs w:val="22"/>
        </w:rPr>
        <w:t>Losses</w:t>
      </w:r>
      <w:r w:rsidRPr="00C30788">
        <w:rPr>
          <w:b/>
          <w:sz w:val="22"/>
          <w:szCs w:val="22"/>
        </w:rPr>
        <w:t xml:space="preserve"> Buah Mentah</w:t>
      </w:r>
    </w:p>
    <w:p w:rsidR="00A57899" w:rsidRDefault="00A57899" w:rsidP="00A57899">
      <w:pPr>
        <w:pStyle w:val="ListParagraph"/>
        <w:ind w:left="0" w:firstLine="720"/>
        <w:contextualSpacing w:val="0"/>
        <w:jc w:val="both"/>
        <w:rPr>
          <w:sz w:val="22"/>
          <w:szCs w:val="22"/>
        </w:rPr>
      </w:pPr>
      <w:r w:rsidRPr="00C30788">
        <w:rPr>
          <w:sz w:val="22"/>
          <w:szCs w:val="22"/>
          <w:lang w:val="en-US"/>
        </w:rPr>
        <w:t>Tenaga kerja panen</w:t>
      </w:r>
      <w:r w:rsidRPr="00C30788">
        <w:rPr>
          <w:sz w:val="22"/>
          <w:szCs w:val="22"/>
        </w:rPr>
        <w:t xml:space="preserve"> merupakan faktor yang penting dalam kegiatan produksi di perkebunan kelapa sawit. Tenaga kerja panen merupakan ujung tombak perusahaan untuk mencap</w:t>
      </w:r>
      <w:r>
        <w:rPr>
          <w:sz w:val="22"/>
          <w:szCs w:val="22"/>
        </w:rPr>
        <w:t>ai target produksi. Pada tabel 1</w:t>
      </w:r>
      <w:r w:rsidRPr="00C30788">
        <w:rPr>
          <w:sz w:val="22"/>
          <w:szCs w:val="22"/>
        </w:rPr>
        <w:t xml:space="preserve">  menunjukkan bahwa tenaga kerja panen memilki pengaruh paling besar terhadap produski TBS kelapa sawit diantara faktor-faktor produksi lainnya.</w:t>
      </w:r>
      <w:r>
        <w:rPr>
          <w:sz w:val="22"/>
          <w:szCs w:val="22"/>
        </w:rPr>
        <w:t xml:space="preserve"> Hasil penelitian </w:t>
      </w:r>
      <w:r>
        <w:rPr>
          <w:sz w:val="22"/>
          <w:szCs w:val="22"/>
        </w:rPr>
        <w:fldChar w:fldCharType="begin" w:fldLock="1"/>
      </w:r>
      <w:r>
        <w:rPr>
          <w:sz w:val="22"/>
          <w:szCs w:val="22"/>
        </w:rPr>
        <w:instrText>ADDIN CSL_CITATION { "citationItems" : [ { "id" : "ITEM-1", "itemData" : { "abstract" : "Over the last few decades, Indonesian oil palm industry has grown significantly becoming a very important agriculture-based industry, where the country is today the first world\u2019s leading producer and exporter. Total factor productivity (TFP) is a framework that can be employed to analyze the source of economic growth. Using the data from the National Farmers Panel Data Survey for the year 2009 and 2012 in two observed districts respectively in Sanggau and Muaro Jambi district, the results of determinant factors analysis shows that Land, Pesticide, Fertilizer and Labor have significant contribution to total production of oil palm in both districts. On the other hand, based on accounting approach, the result reveals that TFP index values of the districts of Sanggau and Muaro Jambi respectively were 1.56 and 1.03. This study have important implications on how to facilitate the adjustment of small farmers to more efficient oil palm production.", "author" : [ { "dropping-particle" : "", "family" : "Nuryartono", "given" : "Nunung", "non-dropping-particle" : "", "parse-names" : false, "suffix" : "" }, { "dropping-particle" : "", "family" : "Pasaribu", "given" : "Syamsul Hidayat", "non-dropping-particle" : "", "parse-names" : false, "suffix" : "" }, { "dropping-particle" : "", "family" : "Nadhilah", "given" : "Pristi", "non-dropping-particle" : "", "parse-names" : false, "suffix" : "" }, { "dropping-particle" : "", "family" : "Panggabean", "given" : "Khairina", "non-dropping-particle" : "", "parse-names" : false, "suffix" : "" } ], "container-title" : "International Journal of Economic and Financial Issues", "id" : "ITEM-1", "issue" : "4", "issued" : { "date-parts" : [ [ "2016" ] ] }, "page" : "1570-1577", "title" : "Total Factor Productivity Analysis of Oil Palm Production in Indonesia", "type" : "article-journal", "volume" : "6" }, "uris" : [ "http://www.mendeley.com/documents/?uuid=ce3205fd-d95f-4b5e-a1c6-1c3192d2f3a6" ] } ], "mendeley" : { "formattedCitation" : "(Nuryartono et al., 2016)", "manualFormatting" : "Nuryartono et al (2016)", "plainTextFormattedCitation" : "(Nuryartono et al., 2016)", "previouslyFormattedCitation" : "(Nuryartono et al., 2016)" }, "properties" : {  }, "schema" : "https://github.com/citation-style-language/schema/raw/master/csl-citation.json" }</w:instrText>
      </w:r>
      <w:r>
        <w:rPr>
          <w:sz w:val="22"/>
          <w:szCs w:val="22"/>
        </w:rPr>
        <w:fldChar w:fldCharType="separate"/>
      </w:r>
      <w:r>
        <w:rPr>
          <w:sz w:val="22"/>
          <w:szCs w:val="22"/>
        </w:rPr>
        <w:t>Nuryartono et al (</w:t>
      </w:r>
      <w:r w:rsidRPr="0034703B">
        <w:rPr>
          <w:sz w:val="22"/>
          <w:szCs w:val="22"/>
        </w:rPr>
        <w:t>2016)</w:t>
      </w:r>
      <w:r>
        <w:rPr>
          <w:sz w:val="22"/>
          <w:szCs w:val="22"/>
        </w:rPr>
        <w:fldChar w:fldCharType="end"/>
      </w:r>
      <w:r>
        <w:rPr>
          <w:sz w:val="22"/>
          <w:szCs w:val="22"/>
        </w:rPr>
        <w:t xml:space="preserve"> juga mendapatkan hasil yang tidak jauh berbeda, dimana produksi minyak sawit dipengaruhi faktor lahan, pestisida, pupuk, dan tenaga kerja. pada penelitian tersebut tenaga kerja merupakan faktor yang mempengaruhi produksi paling besar.</w:t>
      </w:r>
      <w:r w:rsidRPr="00C30788">
        <w:rPr>
          <w:sz w:val="22"/>
          <w:szCs w:val="22"/>
        </w:rPr>
        <w:t xml:space="preserve"> </w:t>
      </w:r>
      <w:r>
        <w:rPr>
          <w:sz w:val="22"/>
          <w:szCs w:val="22"/>
        </w:rPr>
        <w:t>Sehingga berdasarkan kedua hasil penelitian tersebut, dapat dikatakan tenaga kerja merupakan ujung tombak perusahaan dalam meningkatkan produksi kelapa sawit.</w:t>
      </w:r>
    </w:p>
    <w:p w:rsidR="00A57899" w:rsidRDefault="00A57899" w:rsidP="00A57899">
      <w:pPr>
        <w:pStyle w:val="ListParagraph"/>
        <w:ind w:left="0" w:firstLine="720"/>
        <w:contextualSpacing w:val="0"/>
        <w:jc w:val="both"/>
        <w:rPr>
          <w:sz w:val="22"/>
          <w:szCs w:val="22"/>
        </w:rPr>
      </w:pPr>
      <w:r w:rsidRPr="00C30788">
        <w:rPr>
          <w:sz w:val="22"/>
          <w:szCs w:val="22"/>
        </w:rPr>
        <w:lastRenderedPageBreak/>
        <w:t xml:space="preserve">Namun, </w:t>
      </w:r>
      <w:r w:rsidRPr="008E5C99">
        <w:rPr>
          <w:sz w:val="22"/>
          <w:szCs w:val="22"/>
        </w:rPr>
        <w:t xml:space="preserve">sebagai ujung tombak dalam mencapai </w:t>
      </w:r>
      <w:r>
        <w:rPr>
          <w:sz w:val="22"/>
          <w:szCs w:val="22"/>
        </w:rPr>
        <w:t>target perusahaan terkadang ten</w:t>
      </w:r>
      <w:r w:rsidRPr="008E5C99">
        <w:rPr>
          <w:sz w:val="22"/>
          <w:szCs w:val="22"/>
        </w:rPr>
        <w:t>aga kerja juga dapat menyebabkan perusahaan kehilangan produksi/</w:t>
      </w:r>
      <w:r w:rsidRPr="008E5C99">
        <w:rPr>
          <w:i/>
          <w:sz w:val="22"/>
          <w:szCs w:val="22"/>
        </w:rPr>
        <w:t>losses</w:t>
      </w:r>
      <w:r w:rsidRPr="008E5C99">
        <w:rPr>
          <w:sz w:val="22"/>
          <w:szCs w:val="22"/>
        </w:rPr>
        <w:t xml:space="preserve"> atau dapat mengurangi mutu TBS yang dihasilkan. </w:t>
      </w:r>
      <w:r>
        <w:rPr>
          <w:sz w:val="22"/>
          <w:szCs w:val="22"/>
        </w:rPr>
        <w:t xml:space="preserve">Menurut  </w:t>
      </w:r>
      <w:r>
        <w:rPr>
          <w:sz w:val="22"/>
          <w:szCs w:val="22"/>
        </w:rPr>
        <w:fldChar w:fldCharType="begin" w:fldLock="1"/>
      </w:r>
      <w:r>
        <w:rPr>
          <w:sz w:val="22"/>
          <w:szCs w:val="22"/>
        </w:rPr>
        <w:instrText>ADDIN CSL_CITATION { "citationItems" : [ { "id" : "ITEM-1", "itemData" : { "abstract" : "The purpose of this research is to know the result of large production loss, to analyze the probability and impacts of lost production at post harvest process of the fresh fruit bunches (FFB) paml oil from on land until to palm oil factory (POF). Research was done by survey at Pagaruyung Village. Data were collected from 30 small-holders palm oil farmers using purposive sampling. Analysis of the results obtained shows that the loss of production the fresh fruit bunches (FFB) palm oil in post harvest process as 4,91 percent/2ha/month, that loss of production at land as 0.93 percent, at TPH ( FFB raw ) as 0.36 percent, at TPH (FFB) as 0.36 percent and at palm oil factory (Sorting plant process) as 2.93 percent. Probability of the loss production at land as 25.18 percent, at TPH (FFB raw and FFB) as 23.18 percent and 23.24 percent, at palm oil factory (sorting plant process) as 18.79 percent. The impact of the losses arising from the loss of post-harvest TBS is Rp 190.137,97/2ha/month and if combined for one year will reach Rp 2.281.655,60.", "author" : [ { "dropping-particle" : "", "family" : "Andaya", "given" : "Olgi", "non-dropping-particle" : "", "parse-names" : false, "suffix" : "" }, { "dropping-particle" : "", "family" : "Hadi", "given" : "Syaiful", "non-dropping-particle" : "", "parse-names" : false, "suffix" : "" }, { "dropping-particle" : "", "family" : "Yusri", "given" : "Jumarti", "non-dropping-particle" : "", "parse-names" : false, "suffix" : "" } ], "container-title" : "Jurnal Online Mahasiswa Faperta UR", "id" : "ITEM-1", "issue" : "1", "issued" : { "date-parts" : [ [ "2017" ] ] }, "page" : "1-11", "title" : "Analysis The Risk Palm Oil Fresh Fruit Bunches (FFB) Post Harvest of The Core Estate Smallholders (CES) in Pagaruyung Village of Tapung Subdistrict Kampar Regency", "type" : "article-journal", "volume" : "4" }, "uris" : [ "http://www.mendeley.com/documents/?uuid=5c55f50b-8aae-4330-8fc3-994e2188e990" ] } ], "mendeley" : { "formattedCitation" : "(Andaya et al., 2017)", "manualFormatting" : "Andaya, Hadi dan Yusri (2017)", "plainTextFormattedCitation" : "(Andaya et al., 2017)", "previouslyFormattedCitation" : "(Andaya et al., 2017)" }, "properties" : {  }, "schema" : "https://github.com/citation-style-language/schema/raw/master/csl-citation.json" }</w:instrText>
      </w:r>
      <w:r>
        <w:rPr>
          <w:sz w:val="22"/>
          <w:szCs w:val="22"/>
        </w:rPr>
        <w:fldChar w:fldCharType="separate"/>
      </w:r>
      <w:r>
        <w:rPr>
          <w:sz w:val="22"/>
          <w:szCs w:val="22"/>
        </w:rPr>
        <w:t>Andaya, Hadi dan Yusri</w:t>
      </w:r>
      <w:r w:rsidRPr="003F5A90">
        <w:rPr>
          <w:sz w:val="22"/>
          <w:szCs w:val="22"/>
        </w:rPr>
        <w:t xml:space="preserve"> </w:t>
      </w:r>
      <w:r>
        <w:rPr>
          <w:sz w:val="22"/>
          <w:szCs w:val="22"/>
        </w:rPr>
        <w:t>(</w:t>
      </w:r>
      <w:r w:rsidRPr="003F5A90">
        <w:rPr>
          <w:sz w:val="22"/>
          <w:szCs w:val="22"/>
        </w:rPr>
        <w:t>2017)</w:t>
      </w:r>
      <w:r>
        <w:rPr>
          <w:sz w:val="22"/>
          <w:szCs w:val="22"/>
        </w:rPr>
        <w:fldChar w:fldCharType="end"/>
      </w:r>
      <w:r>
        <w:rPr>
          <w:sz w:val="22"/>
          <w:szCs w:val="22"/>
        </w:rPr>
        <w:t>, kemungkinan kejadian atau probabilitas kehilangan/</w:t>
      </w:r>
      <w:r w:rsidRPr="003F5A90">
        <w:rPr>
          <w:i/>
          <w:sz w:val="22"/>
          <w:szCs w:val="22"/>
        </w:rPr>
        <w:t>losses</w:t>
      </w:r>
      <w:r>
        <w:rPr>
          <w:sz w:val="22"/>
          <w:szCs w:val="22"/>
        </w:rPr>
        <w:t xml:space="preserve"> produksi TBS mentah terpanen adalah sebesar 23,89%. </w:t>
      </w:r>
      <w:r w:rsidRPr="00C30788">
        <w:rPr>
          <w:sz w:val="22"/>
          <w:szCs w:val="22"/>
        </w:rPr>
        <w:t>tidak semua tenaga kerja panen mau mengerahkan kinerja yang dimiliki secara optimal, sehingga diperlukkannya peng</w:t>
      </w:r>
      <w:r>
        <w:rPr>
          <w:sz w:val="22"/>
          <w:szCs w:val="22"/>
        </w:rPr>
        <w:t>a</w:t>
      </w:r>
      <w:r w:rsidRPr="00C30788">
        <w:rPr>
          <w:sz w:val="22"/>
          <w:szCs w:val="22"/>
        </w:rPr>
        <w:t>wasan dalam bekerja</w:t>
      </w:r>
      <w:r>
        <w:rPr>
          <w:sz w:val="22"/>
          <w:szCs w:val="22"/>
        </w:rPr>
        <w:t>.</w:t>
      </w:r>
      <w:r w:rsidRPr="00C30788">
        <w:rPr>
          <w:sz w:val="22"/>
          <w:szCs w:val="22"/>
        </w:rPr>
        <w:t xml:space="preserve"> Hal ini berhubungan dengan kedisiplinan dan kelalaian tenaga kerja panen. Sering ditemukan adanya pemanen yang tidak disiplin dengan memanen buah mentah. Sehingga pengawas harus bertindak tegas agar pekerja tidak melakukan kelalaian dalam bekerja.</w:t>
      </w:r>
      <w:r>
        <w:rPr>
          <w:sz w:val="22"/>
          <w:szCs w:val="22"/>
        </w:rPr>
        <w:t xml:space="preserve"> Sehingga untuk melihat tepat atau tidaknya kebijakan pengurangan mandor yang dilakukan perkebunan Bangun Bandar dapat melihat hasil uji </w:t>
      </w:r>
      <w:r w:rsidRPr="00A701BE">
        <w:rPr>
          <w:i/>
          <w:sz w:val="22"/>
          <w:szCs w:val="22"/>
        </w:rPr>
        <w:t>paired sample t test</w:t>
      </w:r>
      <w:r>
        <w:rPr>
          <w:sz w:val="22"/>
          <w:szCs w:val="22"/>
        </w:rPr>
        <w:t xml:space="preserve"> pada tabel 4.</w:t>
      </w:r>
    </w:p>
    <w:p w:rsidR="00A57899" w:rsidRDefault="00A57899" w:rsidP="00A57899">
      <w:pPr>
        <w:jc w:val="both"/>
        <w:rPr>
          <w:sz w:val="22"/>
          <w:szCs w:val="22"/>
        </w:rPr>
      </w:pPr>
      <w:r>
        <w:rPr>
          <w:sz w:val="22"/>
          <w:szCs w:val="22"/>
        </w:rPr>
        <w:t xml:space="preserve">Tabel 2. Produksi dan </w:t>
      </w:r>
      <w:r w:rsidRPr="00A701BE">
        <w:rPr>
          <w:i/>
          <w:sz w:val="22"/>
          <w:szCs w:val="22"/>
        </w:rPr>
        <w:t>Losses</w:t>
      </w:r>
      <w:r>
        <w:rPr>
          <w:sz w:val="22"/>
          <w:szCs w:val="22"/>
        </w:rPr>
        <w:t xml:space="preserve"> Buah Mentah Terpanen Sebelum Pengurangan Mandor</w:t>
      </w:r>
    </w:p>
    <w:tbl>
      <w:tblPr>
        <w:tblStyle w:val="TableGrid"/>
        <w:tblW w:w="7938" w:type="dxa"/>
        <w:tblInd w:w="108" w:type="dxa"/>
        <w:tblLook w:val="04A0" w:firstRow="1" w:lastRow="0" w:firstColumn="1" w:lastColumn="0" w:noHBand="0" w:noVBand="1"/>
      </w:tblPr>
      <w:tblGrid>
        <w:gridCol w:w="910"/>
        <w:gridCol w:w="1326"/>
        <w:gridCol w:w="1322"/>
        <w:gridCol w:w="1344"/>
        <w:gridCol w:w="1340"/>
        <w:gridCol w:w="1696"/>
      </w:tblGrid>
      <w:tr w:rsidR="00A57899" w:rsidTr="00BC104B">
        <w:tc>
          <w:tcPr>
            <w:tcW w:w="7938" w:type="dxa"/>
            <w:gridSpan w:val="6"/>
            <w:tcBorders>
              <w:left w:val="nil"/>
              <w:bottom w:val="single" w:sz="4" w:space="0" w:color="000000" w:themeColor="text1"/>
              <w:right w:val="nil"/>
            </w:tcBorders>
            <w:vAlign w:val="center"/>
          </w:tcPr>
          <w:p w:rsidR="00A57899" w:rsidRDefault="00A57899" w:rsidP="00BC104B">
            <w:pPr>
              <w:jc w:val="center"/>
            </w:pPr>
            <w:r>
              <w:t>Sebelum Pengurangan Mandor</w:t>
            </w:r>
          </w:p>
        </w:tc>
      </w:tr>
      <w:tr w:rsidR="00A57899" w:rsidTr="00BC104B">
        <w:tc>
          <w:tcPr>
            <w:tcW w:w="852" w:type="dxa"/>
            <w:tcBorders>
              <w:left w:val="nil"/>
              <w:bottom w:val="single" w:sz="4" w:space="0" w:color="auto"/>
              <w:right w:val="nil"/>
            </w:tcBorders>
          </w:tcPr>
          <w:p w:rsidR="00A57899" w:rsidRDefault="00A57899" w:rsidP="00BC104B">
            <w:pPr>
              <w:jc w:val="center"/>
            </w:pPr>
            <w:r>
              <w:t>Divisi</w:t>
            </w:r>
          </w:p>
        </w:tc>
        <w:tc>
          <w:tcPr>
            <w:tcW w:w="1340" w:type="dxa"/>
            <w:tcBorders>
              <w:left w:val="nil"/>
              <w:bottom w:val="single" w:sz="4" w:space="0" w:color="auto"/>
              <w:right w:val="nil"/>
            </w:tcBorders>
          </w:tcPr>
          <w:p w:rsidR="00A57899" w:rsidRDefault="00A57899" w:rsidP="00BC104B">
            <w:pPr>
              <w:jc w:val="center"/>
            </w:pPr>
            <w:r>
              <w:t>Mandor (Orang)</w:t>
            </w:r>
          </w:p>
        </w:tc>
        <w:tc>
          <w:tcPr>
            <w:tcW w:w="1332" w:type="dxa"/>
            <w:tcBorders>
              <w:left w:val="nil"/>
              <w:bottom w:val="single" w:sz="4" w:space="0" w:color="auto"/>
              <w:right w:val="nil"/>
            </w:tcBorders>
          </w:tcPr>
          <w:p w:rsidR="00A57899" w:rsidRDefault="00A57899" w:rsidP="00BC104B">
            <w:pPr>
              <w:jc w:val="center"/>
            </w:pPr>
            <w:r>
              <w:t>Luas Areal (ha)</w:t>
            </w:r>
          </w:p>
        </w:tc>
        <w:tc>
          <w:tcPr>
            <w:tcW w:w="1349" w:type="dxa"/>
            <w:tcBorders>
              <w:left w:val="nil"/>
              <w:bottom w:val="single" w:sz="4" w:space="0" w:color="auto"/>
              <w:right w:val="nil"/>
            </w:tcBorders>
          </w:tcPr>
          <w:p w:rsidR="00A57899" w:rsidRDefault="00A57899" w:rsidP="00BC104B">
            <w:pPr>
              <w:jc w:val="center"/>
            </w:pPr>
            <w:r>
              <w:t>Karyawan (Orang)</w:t>
            </w:r>
          </w:p>
        </w:tc>
        <w:tc>
          <w:tcPr>
            <w:tcW w:w="1346" w:type="dxa"/>
            <w:tcBorders>
              <w:left w:val="nil"/>
              <w:bottom w:val="single" w:sz="4" w:space="0" w:color="auto"/>
              <w:right w:val="nil"/>
            </w:tcBorders>
          </w:tcPr>
          <w:p w:rsidR="00A57899" w:rsidRDefault="00A57899" w:rsidP="00BC104B">
            <w:pPr>
              <w:jc w:val="center"/>
            </w:pPr>
            <w:r>
              <w:t>Produksi (Janjang)</w:t>
            </w:r>
          </w:p>
        </w:tc>
        <w:tc>
          <w:tcPr>
            <w:tcW w:w="1719" w:type="dxa"/>
            <w:tcBorders>
              <w:left w:val="nil"/>
              <w:bottom w:val="single" w:sz="4" w:space="0" w:color="auto"/>
              <w:right w:val="nil"/>
            </w:tcBorders>
          </w:tcPr>
          <w:p w:rsidR="00A57899" w:rsidRDefault="00A57899" w:rsidP="00BC104B">
            <w:pPr>
              <w:jc w:val="center"/>
            </w:pPr>
            <w:r>
              <w:t>Buah Mentah (Janjang)</w:t>
            </w:r>
          </w:p>
        </w:tc>
      </w:tr>
      <w:tr w:rsidR="00A57899" w:rsidTr="00BC104B">
        <w:tc>
          <w:tcPr>
            <w:tcW w:w="852" w:type="dxa"/>
            <w:tcBorders>
              <w:top w:val="single" w:sz="4" w:space="0" w:color="auto"/>
              <w:left w:val="nil"/>
              <w:bottom w:val="nil"/>
              <w:right w:val="nil"/>
            </w:tcBorders>
            <w:vAlign w:val="center"/>
          </w:tcPr>
          <w:p w:rsidR="00A57899" w:rsidRDefault="00A57899" w:rsidP="00BC104B">
            <w:pPr>
              <w:jc w:val="center"/>
            </w:pPr>
            <w:r>
              <w:t>1</w:t>
            </w:r>
          </w:p>
        </w:tc>
        <w:tc>
          <w:tcPr>
            <w:tcW w:w="1340" w:type="dxa"/>
            <w:tcBorders>
              <w:top w:val="single" w:sz="4" w:space="0" w:color="auto"/>
              <w:left w:val="nil"/>
              <w:bottom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3</w:t>
            </w:r>
          </w:p>
        </w:tc>
        <w:tc>
          <w:tcPr>
            <w:tcW w:w="1332" w:type="dxa"/>
            <w:tcBorders>
              <w:top w:val="single" w:sz="4" w:space="0" w:color="auto"/>
              <w:left w:val="nil"/>
              <w:bottom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783,05</w:t>
            </w:r>
          </w:p>
        </w:tc>
        <w:tc>
          <w:tcPr>
            <w:tcW w:w="1349" w:type="dxa"/>
            <w:tcBorders>
              <w:top w:val="single" w:sz="4" w:space="0" w:color="auto"/>
              <w:left w:val="nil"/>
              <w:bottom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32</w:t>
            </w:r>
          </w:p>
        </w:tc>
        <w:tc>
          <w:tcPr>
            <w:tcW w:w="1346" w:type="dxa"/>
            <w:tcBorders>
              <w:top w:val="single" w:sz="4" w:space="0" w:color="auto"/>
              <w:left w:val="nil"/>
              <w:bottom w:val="nil"/>
              <w:right w:val="nil"/>
            </w:tcBorders>
          </w:tcPr>
          <w:p w:rsidR="00A57899" w:rsidRPr="00DD5AED" w:rsidRDefault="00A57899" w:rsidP="00BC104B">
            <w:pPr>
              <w:jc w:val="center"/>
              <w:rPr>
                <w:color w:val="000000"/>
              </w:rPr>
            </w:pPr>
            <w:r w:rsidRPr="00DD5AED">
              <w:rPr>
                <w:color w:val="000000"/>
              </w:rPr>
              <w:t>557.015</w:t>
            </w:r>
          </w:p>
        </w:tc>
        <w:tc>
          <w:tcPr>
            <w:tcW w:w="1719" w:type="dxa"/>
            <w:tcBorders>
              <w:top w:val="single" w:sz="4" w:space="0" w:color="auto"/>
              <w:left w:val="nil"/>
              <w:bottom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1.779</w:t>
            </w:r>
          </w:p>
        </w:tc>
      </w:tr>
      <w:tr w:rsidR="00A57899" w:rsidTr="00BC104B">
        <w:tc>
          <w:tcPr>
            <w:tcW w:w="852" w:type="dxa"/>
            <w:tcBorders>
              <w:top w:val="nil"/>
              <w:left w:val="nil"/>
              <w:bottom w:val="nil"/>
              <w:right w:val="nil"/>
            </w:tcBorders>
            <w:vAlign w:val="center"/>
          </w:tcPr>
          <w:p w:rsidR="00A57899" w:rsidRDefault="00A57899" w:rsidP="00BC104B">
            <w:pPr>
              <w:jc w:val="center"/>
            </w:pPr>
            <w:r>
              <w:t>2</w:t>
            </w:r>
          </w:p>
        </w:tc>
        <w:tc>
          <w:tcPr>
            <w:tcW w:w="1340" w:type="dxa"/>
            <w:tcBorders>
              <w:top w:val="nil"/>
              <w:left w:val="nil"/>
              <w:bottom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3</w:t>
            </w:r>
          </w:p>
        </w:tc>
        <w:tc>
          <w:tcPr>
            <w:tcW w:w="1332" w:type="dxa"/>
            <w:tcBorders>
              <w:top w:val="nil"/>
              <w:left w:val="nil"/>
              <w:bottom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920,07</w:t>
            </w:r>
          </w:p>
        </w:tc>
        <w:tc>
          <w:tcPr>
            <w:tcW w:w="1349" w:type="dxa"/>
            <w:tcBorders>
              <w:top w:val="nil"/>
              <w:left w:val="nil"/>
              <w:bottom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43</w:t>
            </w:r>
          </w:p>
        </w:tc>
        <w:tc>
          <w:tcPr>
            <w:tcW w:w="1346" w:type="dxa"/>
            <w:tcBorders>
              <w:top w:val="nil"/>
              <w:left w:val="nil"/>
              <w:bottom w:val="nil"/>
              <w:right w:val="nil"/>
            </w:tcBorders>
          </w:tcPr>
          <w:p w:rsidR="00A57899" w:rsidRPr="00DD5AED" w:rsidRDefault="00A57899" w:rsidP="00BC104B">
            <w:pPr>
              <w:jc w:val="center"/>
              <w:rPr>
                <w:color w:val="000000"/>
              </w:rPr>
            </w:pPr>
            <w:r w:rsidRPr="00DD5AED">
              <w:rPr>
                <w:color w:val="000000"/>
              </w:rPr>
              <w:t>668.712</w:t>
            </w:r>
          </w:p>
        </w:tc>
        <w:tc>
          <w:tcPr>
            <w:tcW w:w="1719" w:type="dxa"/>
            <w:tcBorders>
              <w:top w:val="nil"/>
              <w:left w:val="nil"/>
              <w:bottom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1.167</w:t>
            </w:r>
          </w:p>
        </w:tc>
      </w:tr>
      <w:tr w:rsidR="00A57899" w:rsidTr="00BC104B">
        <w:tc>
          <w:tcPr>
            <w:tcW w:w="852" w:type="dxa"/>
            <w:tcBorders>
              <w:top w:val="nil"/>
              <w:left w:val="nil"/>
              <w:bottom w:val="nil"/>
              <w:right w:val="nil"/>
            </w:tcBorders>
            <w:vAlign w:val="center"/>
          </w:tcPr>
          <w:p w:rsidR="00A57899" w:rsidRDefault="00A57899" w:rsidP="00BC104B">
            <w:pPr>
              <w:jc w:val="center"/>
            </w:pPr>
            <w:r>
              <w:t>3</w:t>
            </w:r>
          </w:p>
        </w:tc>
        <w:tc>
          <w:tcPr>
            <w:tcW w:w="1340" w:type="dxa"/>
            <w:tcBorders>
              <w:top w:val="nil"/>
              <w:left w:val="nil"/>
              <w:bottom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4</w:t>
            </w:r>
          </w:p>
        </w:tc>
        <w:tc>
          <w:tcPr>
            <w:tcW w:w="1332" w:type="dxa"/>
            <w:tcBorders>
              <w:top w:val="nil"/>
              <w:left w:val="nil"/>
              <w:bottom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861,08</w:t>
            </w:r>
          </w:p>
        </w:tc>
        <w:tc>
          <w:tcPr>
            <w:tcW w:w="1349" w:type="dxa"/>
            <w:tcBorders>
              <w:top w:val="nil"/>
              <w:left w:val="nil"/>
              <w:bottom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45</w:t>
            </w:r>
          </w:p>
        </w:tc>
        <w:tc>
          <w:tcPr>
            <w:tcW w:w="1346" w:type="dxa"/>
            <w:tcBorders>
              <w:top w:val="nil"/>
              <w:left w:val="nil"/>
              <w:bottom w:val="nil"/>
              <w:right w:val="nil"/>
            </w:tcBorders>
          </w:tcPr>
          <w:p w:rsidR="00A57899" w:rsidRPr="00DD5AED" w:rsidRDefault="00A57899" w:rsidP="00BC104B">
            <w:pPr>
              <w:jc w:val="center"/>
              <w:rPr>
                <w:color w:val="000000"/>
              </w:rPr>
            </w:pPr>
            <w:r w:rsidRPr="00DD5AED">
              <w:rPr>
                <w:color w:val="000000"/>
              </w:rPr>
              <w:t>506.526</w:t>
            </w:r>
          </w:p>
        </w:tc>
        <w:tc>
          <w:tcPr>
            <w:tcW w:w="1719" w:type="dxa"/>
            <w:tcBorders>
              <w:top w:val="nil"/>
              <w:left w:val="nil"/>
              <w:bottom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1.782</w:t>
            </w:r>
          </w:p>
        </w:tc>
      </w:tr>
      <w:tr w:rsidR="00A57899" w:rsidTr="00BC104B">
        <w:tc>
          <w:tcPr>
            <w:tcW w:w="852" w:type="dxa"/>
            <w:tcBorders>
              <w:top w:val="nil"/>
              <w:left w:val="nil"/>
              <w:bottom w:val="single" w:sz="4" w:space="0" w:color="000000" w:themeColor="text1"/>
              <w:right w:val="nil"/>
            </w:tcBorders>
            <w:vAlign w:val="center"/>
          </w:tcPr>
          <w:p w:rsidR="00A57899" w:rsidRDefault="00A57899" w:rsidP="00BC104B">
            <w:pPr>
              <w:jc w:val="center"/>
            </w:pPr>
            <w:r>
              <w:t>4</w:t>
            </w:r>
          </w:p>
        </w:tc>
        <w:tc>
          <w:tcPr>
            <w:tcW w:w="1340" w:type="dxa"/>
            <w:tcBorders>
              <w:top w:val="nil"/>
              <w:left w:val="nil"/>
              <w:bottom w:val="single" w:sz="4" w:space="0" w:color="000000" w:themeColor="text1"/>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2</w:t>
            </w:r>
          </w:p>
        </w:tc>
        <w:tc>
          <w:tcPr>
            <w:tcW w:w="1332" w:type="dxa"/>
            <w:tcBorders>
              <w:top w:val="nil"/>
              <w:left w:val="nil"/>
              <w:bottom w:val="single" w:sz="4" w:space="0" w:color="000000" w:themeColor="text1"/>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451,11</w:t>
            </w:r>
          </w:p>
        </w:tc>
        <w:tc>
          <w:tcPr>
            <w:tcW w:w="1349" w:type="dxa"/>
            <w:tcBorders>
              <w:top w:val="nil"/>
              <w:left w:val="nil"/>
              <w:bottom w:val="single" w:sz="4" w:space="0" w:color="000000" w:themeColor="text1"/>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23</w:t>
            </w:r>
          </w:p>
        </w:tc>
        <w:tc>
          <w:tcPr>
            <w:tcW w:w="1346" w:type="dxa"/>
            <w:tcBorders>
              <w:top w:val="nil"/>
              <w:left w:val="nil"/>
              <w:bottom w:val="single" w:sz="4" w:space="0" w:color="000000" w:themeColor="text1"/>
              <w:right w:val="nil"/>
            </w:tcBorders>
          </w:tcPr>
          <w:p w:rsidR="00A57899" w:rsidRPr="00DD5AED" w:rsidRDefault="00A57899" w:rsidP="00BC104B">
            <w:pPr>
              <w:jc w:val="center"/>
              <w:rPr>
                <w:color w:val="000000"/>
              </w:rPr>
            </w:pPr>
            <w:r w:rsidRPr="00DD5AED">
              <w:rPr>
                <w:color w:val="000000"/>
              </w:rPr>
              <w:t>389.663</w:t>
            </w:r>
          </w:p>
        </w:tc>
        <w:tc>
          <w:tcPr>
            <w:tcW w:w="1719" w:type="dxa"/>
            <w:tcBorders>
              <w:top w:val="nil"/>
              <w:left w:val="nil"/>
              <w:bottom w:val="single" w:sz="4" w:space="0" w:color="000000" w:themeColor="text1"/>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2.423</w:t>
            </w:r>
          </w:p>
        </w:tc>
      </w:tr>
      <w:tr w:rsidR="00A57899" w:rsidTr="00BC104B">
        <w:tc>
          <w:tcPr>
            <w:tcW w:w="852" w:type="dxa"/>
            <w:tcBorders>
              <w:left w:val="nil"/>
              <w:right w:val="nil"/>
            </w:tcBorders>
            <w:vAlign w:val="center"/>
          </w:tcPr>
          <w:p w:rsidR="00A57899" w:rsidRDefault="00A57899" w:rsidP="00BC104B">
            <w:pPr>
              <w:jc w:val="center"/>
            </w:pPr>
            <w:r>
              <w:t>Jumlah</w:t>
            </w:r>
          </w:p>
        </w:tc>
        <w:tc>
          <w:tcPr>
            <w:tcW w:w="1340" w:type="dxa"/>
            <w:tcBorders>
              <w:left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12</w:t>
            </w:r>
          </w:p>
        </w:tc>
        <w:tc>
          <w:tcPr>
            <w:tcW w:w="1332" w:type="dxa"/>
            <w:tcBorders>
              <w:left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3.015,31</w:t>
            </w:r>
          </w:p>
        </w:tc>
        <w:tc>
          <w:tcPr>
            <w:tcW w:w="1349" w:type="dxa"/>
            <w:tcBorders>
              <w:left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143</w:t>
            </w:r>
          </w:p>
        </w:tc>
        <w:tc>
          <w:tcPr>
            <w:tcW w:w="1346" w:type="dxa"/>
            <w:tcBorders>
              <w:left w:val="nil"/>
              <w:right w:val="nil"/>
            </w:tcBorders>
          </w:tcPr>
          <w:p w:rsidR="00A57899" w:rsidRPr="00DD5AED" w:rsidRDefault="00A57899" w:rsidP="00BC104B">
            <w:pPr>
              <w:jc w:val="center"/>
              <w:rPr>
                <w:color w:val="000000"/>
              </w:rPr>
            </w:pPr>
            <w:r w:rsidRPr="00DD5AED">
              <w:rPr>
                <w:color w:val="000000"/>
              </w:rPr>
              <w:t>2.121.916</w:t>
            </w:r>
          </w:p>
        </w:tc>
        <w:tc>
          <w:tcPr>
            <w:tcW w:w="1719" w:type="dxa"/>
            <w:tcBorders>
              <w:left w:val="nil"/>
              <w:right w:val="nil"/>
            </w:tcBorders>
          </w:tcPr>
          <w:p w:rsidR="00A57899" w:rsidRPr="00DD5AED" w:rsidRDefault="00A57899" w:rsidP="00BC104B">
            <w:pPr>
              <w:autoSpaceDE w:val="0"/>
              <w:autoSpaceDN w:val="0"/>
              <w:adjustRightInd w:val="0"/>
              <w:jc w:val="center"/>
              <w:rPr>
                <w:color w:val="000000"/>
                <w:lang w:eastAsia="id-ID"/>
              </w:rPr>
            </w:pPr>
            <w:r w:rsidRPr="00DD5AED">
              <w:rPr>
                <w:color w:val="000000"/>
                <w:lang w:eastAsia="id-ID"/>
              </w:rPr>
              <w:t>7.151</w:t>
            </w:r>
          </w:p>
        </w:tc>
      </w:tr>
    </w:tbl>
    <w:p w:rsidR="00A57899" w:rsidRPr="00A701BE" w:rsidRDefault="00A57899" w:rsidP="00A57899">
      <w:pPr>
        <w:jc w:val="both"/>
        <w:rPr>
          <w:sz w:val="22"/>
          <w:szCs w:val="22"/>
        </w:rPr>
      </w:pPr>
      <w:r>
        <w:rPr>
          <w:sz w:val="22"/>
          <w:szCs w:val="22"/>
        </w:rPr>
        <w:t>Sumber: Data primer, 2017</w:t>
      </w:r>
    </w:p>
    <w:p w:rsidR="00A57899" w:rsidRDefault="00A57899" w:rsidP="00A57899">
      <w:pPr>
        <w:ind w:firstLine="720"/>
        <w:jc w:val="both"/>
        <w:rPr>
          <w:sz w:val="22"/>
          <w:szCs w:val="22"/>
        </w:rPr>
      </w:pPr>
      <w:r w:rsidRPr="00C30788">
        <w:rPr>
          <w:sz w:val="22"/>
          <w:szCs w:val="22"/>
        </w:rPr>
        <w:t xml:space="preserve">Berdasarkan tabel 2, terlihat bahwa sebelum pengurangan mandor pada bulan Januari sampai April 2017 di setiap divisi terdapat beberapa mandor dengan luas areal dan tenaga kerja yang harus diawasi. Sebelum pengurangan mandor produksi dan </w:t>
      </w:r>
      <w:r w:rsidRPr="00C30788">
        <w:rPr>
          <w:i/>
          <w:sz w:val="22"/>
          <w:szCs w:val="22"/>
        </w:rPr>
        <w:t>losses</w:t>
      </w:r>
      <w:r w:rsidRPr="00C30788">
        <w:rPr>
          <w:sz w:val="22"/>
          <w:szCs w:val="22"/>
        </w:rPr>
        <w:t xml:space="preserve"> buah mentah selama 95 hari secara berurut adalah 2.121.916 janjang dan 7.151 janjang, dengan persentase </w:t>
      </w:r>
      <w:r w:rsidRPr="00C30788">
        <w:rPr>
          <w:i/>
          <w:sz w:val="22"/>
          <w:szCs w:val="22"/>
        </w:rPr>
        <w:t>losses</w:t>
      </w:r>
      <w:r w:rsidRPr="00C30788">
        <w:rPr>
          <w:sz w:val="22"/>
          <w:szCs w:val="22"/>
        </w:rPr>
        <w:t xml:space="preserve"> sebesar 0,337% dari produksi. Sedangkan untuk kinerja tenaga kerja panen sebelum pengurangan mandor sebesar 156 janjang/hari. Kinerja tenaga kerja panen tersebut sudah tergolong baik apabila dilihat dari nilai basis janjang pada setiap blok perkebunan yang memiliki nilai basis janjang terendah sebesar 35 janjang/hari (tahun tanam 1989-1991) dan tertinggi 220 janjang/hari (tahun tanam 2014) atau dari rata-rata basis janjang kebun Bangun Bandar sebesar 110 janjang. Secara garis besar kinerja mandor sebagai pengawas sebelum kebijakan pengurangan mandor sudah baik.</w:t>
      </w:r>
    </w:p>
    <w:p w:rsidR="00A57899" w:rsidRDefault="00A57899" w:rsidP="00A57899">
      <w:pPr>
        <w:jc w:val="both"/>
        <w:rPr>
          <w:sz w:val="22"/>
          <w:szCs w:val="22"/>
        </w:rPr>
      </w:pPr>
      <w:r>
        <w:rPr>
          <w:sz w:val="22"/>
          <w:szCs w:val="22"/>
        </w:rPr>
        <w:t xml:space="preserve">Tabel 3. Produksi dan </w:t>
      </w:r>
      <w:r w:rsidRPr="00A701BE">
        <w:rPr>
          <w:i/>
          <w:sz w:val="22"/>
          <w:szCs w:val="22"/>
        </w:rPr>
        <w:t>Losses</w:t>
      </w:r>
      <w:r>
        <w:rPr>
          <w:sz w:val="22"/>
          <w:szCs w:val="22"/>
        </w:rPr>
        <w:t xml:space="preserve"> Buah Mentah Terpanen Sesudah Pengurangan Mandor</w:t>
      </w:r>
    </w:p>
    <w:tbl>
      <w:tblPr>
        <w:tblStyle w:val="TableGrid"/>
        <w:tblW w:w="7938" w:type="dxa"/>
        <w:tblInd w:w="108" w:type="dxa"/>
        <w:tblLook w:val="04A0" w:firstRow="1" w:lastRow="0" w:firstColumn="1" w:lastColumn="0" w:noHBand="0" w:noVBand="1"/>
      </w:tblPr>
      <w:tblGrid>
        <w:gridCol w:w="910"/>
        <w:gridCol w:w="1326"/>
        <w:gridCol w:w="1322"/>
        <w:gridCol w:w="1344"/>
        <w:gridCol w:w="1340"/>
        <w:gridCol w:w="1696"/>
      </w:tblGrid>
      <w:tr w:rsidR="00A57899" w:rsidTr="00BC104B">
        <w:tc>
          <w:tcPr>
            <w:tcW w:w="7938" w:type="dxa"/>
            <w:gridSpan w:val="6"/>
            <w:tcBorders>
              <w:left w:val="nil"/>
              <w:bottom w:val="single" w:sz="4" w:space="0" w:color="000000" w:themeColor="text1"/>
              <w:right w:val="nil"/>
            </w:tcBorders>
            <w:vAlign w:val="center"/>
          </w:tcPr>
          <w:p w:rsidR="00A57899" w:rsidRDefault="00A57899" w:rsidP="00BC104B">
            <w:pPr>
              <w:jc w:val="center"/>
            </w:pPr>
            <w:r>
              <w:t>Sesudah Pengurangan Mandor</w:t>
            </w:r>
          </w:p>
        </w:tc>
      </w:tr>
      <w:tr w:rsidR="00A57899" w:rsidTr="00BC104B">
        <w:tc>
          <w:tcPr>
            <w:tcW w:w="852" w:type="dxa"/>
            <w:tcBorders>
              <w:left w:val="nil"/>
              <w:bottom w:val="single" w:sz="4" w:space="0" w:color="auto"/>
              <w:right w:val="nil"/>
            </w:tcBorders>
          </w:tcPr>
          <w:p w:rsidR="00A57899" w:rsidRDefault="00A57899" w:rsidP="00BC104B">
            <w:pPr>
              <w:jc w:val="center"/>
            </w:pPr>
            <w:r>
              <w:t>Divisi</w:t>
            </w:r>
          </w:p>
        </w:tc>
        <w:tc>
          <w:tcPr>
            <w:tcW w:w="1340" w:type="dxa"/>
            <w:tcBorders>
              <w:left w:val="nil"/>
              <w:bottom w:val="single" w:sz="4" w:space="0" w:color="auto"/>
              <w:right w:val="nil"/>
            </w:tcBorders>
          </w:tcPr>
          <w:p w:rsidR="00A57899" w:rsidRDefault="00A57899" w:rsidP="00BC104B">
            <w:pPr>
              <w:jc w:val="center"/>
            </w:pPr>
            <w:r>
              <w:t>Mandor (Orang)</w:t>
            </w:r>
          </w:p>
        </w:tc>
        <w:tc>
          <w:tcPr>
            <w:tcW w:w="1332" w:type="dxa"/>
            <w:tcBorders>
              <w:left w:val="nil"/>
              <w:bottom w:val="single" w:sz="4" w:space="0" w:color="auto"/>
              <w:right w:val="nil"/>
            </w:tcBorders>
          </w:tcPr>
          <w:p w:rsidR="00A57899" w:rsidRDefault="00A57899" w:rsidP="00BC104B">
            <w:pPr>
              <w:jc w:val="center"/>
            </w:pPr>
            <w:r>
              <w:t>Luas Areal (ha)</w:t>
            </w:r>
          </w:p>
        </w:tc>
        <w:tc>
          <w:tcPr>
            <w:tcW w:w="1349" w:type="dxa"/>
            <w:tcBorders>
              <w:left w:val="nil"/>
              <w:bottom w:val="single" w:sz="4" w:space="0" w:color="auto"/>
              <w:right w:val="nil"/>
            </w:tcBorders>
          </w:tcPr>
          <w:p w:rsidR="00A57899" w:rsidRDefault="00A57899" w:rsidP="00BC104B">
            <w:pPr>
              <w:jc w:val="center"/>
            </w:pPr>
            <w:r>
              <w:t>Karyawan (Orang)</w:t>
            </w:r>
          </w:p>
        </w:tc>
        <w:tc>
          <w:tcPr>
            <w:tcW w:w="1346" w:type="dxa"/>
            <w:tcBorders>
              <w:left w:val="nil"/>
              <w:bottom w:val="single" w:sz="4" w:space="0" w:color="auto"/>
              <w:right w:val="nil"/>
            </w:tcBorders>
          </w:tcPr>
          <w:p w:rsidR="00A57899" w:rsidRDefault="00A57899" w:rsidP="00BC104B">
            <w:pPr>
              <w:jc w:val="center"/>
            </w:pPr>
            <w:r>
              <w:t>Produksi (Janjang)</w:t>
            </w:r>
          </w:p>
        </w:tc>
        <w:tc>
          <w:tcPr>
            <w:tcW w:w="1719" w:type="dxa"/>
            <w:tcBorders>
              <w:left w:val="nil"/>
              <w:bottom w:val="single" w:sz="4" w:space="0" w:color="auto"/>
              <w:right w:val="nil"/>
            </w:tcBorders>
          </w:tcPr>
          <w:p w:rsidR="00A57899" w:rsidRDefault="00A57899" w:rsidP="00BC104B">
            <w:pPr>
              <w:jc w:val="center"/>
            </w:pPr>
            <w:r>
              <w:t>Buah Mentah (Janjang)</w:t>
            </w:r>
          </w:p>
        </w:tc>
      </w:tr>
      <w:tr w:rsidR="00A57899" w:rsidTr="00BC104B">
        <w:tc>
          <w:tcPr>
            <w:tcW w:w="852" w:type="dxa"/>
            <w:tcBorders>
              <w:top w:val="single" w:sz="4" w:space="0" w:color="auto"/>
              <w:left w:val="nil"/>
              <w:bottom w:val="nil"/>
              <w:right w:val="nil"/>
            </w:tcBorders>
            <w:vAlign w:val="center"/>
          </w:tcPr>
          <w:p w:rsidR="00A57899" w:rsidRDefault="00A57899" w:rsidP="00BC104B">
            <w:pPr>
              <w:jc w:val="center"/>
            </w:pPr>
            <w:r>
              <w:t>1</w:t>
            </w:r>
          </w:p>
        </w:tc>
        <w:tc>
          <w:tcPr>
            <w:tcW w:w="1340" w:type="dxa"/>
            <w:tcBorders>
              <w:top w:val="single" w:sz="4" w:space="0" w:color="auto"/>
              <w:left w:val="nil"/>
              <w:bottom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2</w:t>
            </w:r>
          </w:p>
        </w:tc>
        <w:tc>
          <w:tcPr>
            <w:tcW w:w="1332" w:type="dxa"/>
            <w:tcBorders>
              <w:top w:val="single" w:sz="4" w:space="0" w:color="auto"/>
              <w:left w:val="nil"/>
              <w:bottom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783,05</w:t>
            </w:r>
          </w:p>
        </w:tc>
        <w:tc>
          <w:tcPr>
            <w:tcW w:w="1349" w:type="dxa"/>
            <w:tcBorders>
              <w:top w:val="single" w:sz="4" w:space="0" w:color="auto"/>
              <w:left w:val="nil"/>
              <w:bottom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32</w:t>
            </w:r>
          </w:p>
        </w:tc>
        <w:tc>
          <w:tcPr>
            <w:tcW w:w="1346" w:type="dxa"/>
            <w:tcBorders>
              <w:top w:val="single" w:sz="4" w:space="0" w:color="auto"/>
              <w:left w:val="nil"/>
              <w:bottom w:val="nil"/>
              <w:right w:val="nil"/>
            </w:tcBorders>
          </w:tcPr>
          <w:p w:rsidR="00A57899" w:rsidRPr="00132865" w:rsidRDefault="00A57899" w:rsidP="00BC104B">
            <w:pPr>
              <w:jc w:val="center"/>
              <w:rPr>
                <w:color w:val="000000"/>
              </w:rPr>
            </w:pPr>
            <w:r w:rsidRPr="00132865">
              <w:rPr>
                <w:color w:val="000000"/>
              </w:rPr>
              <w:t>574.059</w:t>
            </w:r>
          </w:p>
        </w:tc>
        <w:tc>
          <w:tcPr>
            <w:tcW w:w="1719" w:type="dxa"/>
            <w:tcBorders>
              <w:top w:val="single" w:sz="4" w:space="0" w:color="auto"/>
              <w:left w:val="nil"/>
              <w:bottom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1.707</w:t>
            </w:r>
          </w:p>
        </w:tc>
      </w:tr>
      <w:tr w:rsidR="00A57899" w:rsidTr="00BC104B">
        <w:tc>
          <w:tcPr>
            <w:tcW w:w="852" w:type="dxa"/>
            <w:tcBorders>
              <w:top w:val="nil"/>
              <w:left w:val="nil"/>
              <w:bottom w:val="nil"/>
              <w:right w:val="nil"/>
            </w:tcBorders>
            <w:vAlign w:val="center"/>
          </w:tcPr>
          <w:p w:rsidR="00A57899" w:rsidRDefault="00A57899" w:rsidP="00BC104B">
            <w:pPr>
              <w:jc w:val="center"/>
            </w:pPr>
            <w:r>
              <w:t>2</w:t>
            </w:r>
          </w:p>
        </w:tc>
        <w:tc>
          <w:tcPr>
            <w:tcW w:w="1340" w:type="dxa"/>
            <w:tcBorders>
              <w:top w:val="nil"/>
              <w:left w:val="nil"/>
              <w:bottom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2</w:t>
            </w:r>
          </w:p>
        </w:tc>
        <w:tc>
          <w:tcPr>
            <w:tcW w:w="1332" w:type="dxa"/>
            <w:tcBorders>
              <w:top w:val="nil"/>
              <w:left w:val="nil"/>
              <w:bottom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920,07</w:t>
            </w:r>
          </w:p>
        </w:tc>
        <w:tc>
          <w:tcPr>
            <w:tcW w:w="1349" w:type="dxa"/>
            <w:tcBorders>
              <w:top w:val="nil"/>
              <w:left w:val="nil"/>
              <w:bottom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43</w:t>
            </w:r>
          </w:p>
        </w:tc>
        <w:tc>
          <w:tcPr>
            <w:tcW w:w="1346" w:type="dxa"/>
            <w:tcBorders>
              <w:top w:val="nil"/>
              <w:left w:val="nil"/>
              <w:bottom w:val="nil"/>
              <w:right w:val="nil"/>
            </w:tcBorders>
          </w:tcPr>
          <w:p w:rsidR="00A57899" w:rsidRPr="00132865" w:rsidRDefault="00A57899" w:rsidP="00BC104B">
            <w:pPr>
              <w:jc w:val="center"/>
              <w:rPr>
                <w:color w:val="000000"/>
              </w:rPr>
            </w:pPr>
            <w:r w:rsidRPr="00132865">
              <w:rPr>
                <w:color w:val="000000"/>
              </w:rPr>
              <w:t>633.504</w:t>
            </w:r>
          </w:p>
        </w:tc>
        <w:tc>
          <w:tcPr>
            <w:tcW w:w="1719" w:type="dxa"/>
            <w:tcBorders>
              <w:top w:val="nil"/>
              <w:left w:val="nil"/>
              <w:bottom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1.055</w:t>
            </w:r>
          </w:p>
        </w:tc>
      </w:tr>
      <w:tr w:rsidR="00A57899" w:rsidTr="00BC104B">
        <w:tc>
          <w:tcPr>
            <w:tcW w:w="852" w:type="dxa"/>
            <w:tcBorders>
              <w:top w:val="nil"/>
              <w:left w:val="nil"/>
              <w:bottom w:val="nil"/>
              <w:right w:val="nil"/>
            </w:tcBorders>
            <w:vAlign w:val="center"/>
          </w:tcPr>
          <w:p w:rsidR="00A57899" w:rsidRDefault="00A57899" w:rsidP="00BC104B">
            <w:pPr>
              <w:jc w:val="center"/>
            </w:pPr>
            <w:r>
              <w:t>3</w:t>
            </w:r>
          </w:p>
        </w:tc>
        <w:tc>
          <w:tcPr>
            <w:tcW w:w="1340" w:type="dxa"/>
            <w:tcBorders>
              <w:top w:val="nil"/>
              <w:left w:val="nil"/>
              <w:bottom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3</w:t>
            </w:r>
          </w:p>
        </w:tc>
        <w:tc>
          <w:tcPr>
            <w:tcW w:w="1332" w:type="dxa"/>
            <w:tcBorders>
              <w:top w:val="nil"/>
              <w:left w:val="nil"/>
              <w:bottom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861,08</w:t>
            </w:r>
          </w:p>
        </w:tc>
        <w:tc>
          <w:tcPr>
            <w:tcW w:w="1349" w:type="dxa"/>
            <w:tcBorders>
              <w:top w:val="nil"/>
              <w:left w:val="nil"/>
              <w:bottom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45</w:t>
            </w:r>
          </w:p>
        </w:tc>
        <w:tc>
          <w:tcPr>
            <w:tcW w:w="1346" w:type="dxa"/>
            <w:tcBorders>
              <w:top w:val="nil"/>
              <w:left w:val="nil"/>
              <w:bottom w:val="nil"/>
              <w:right w:val="nil"/>
            </w:tcBorders>
          </w:tcPr>
          <w:p w:rsidR="00A57899" w:rsidRPr="00132865" w:rsidRDefault="00A57899" w:rsidP="00BC104B">
            <w:pPr>
              <w:jc w:val="center"/>
              <w:rPr>
                <w:color w:val="000000"/>
              </w:rPr>
            </w:pPr>
            <w:r w:rsidRPr="00132865">
              <w:rPr>
                <w:color w:val="000000"/>
              </w:rPr>
              <w:t>612.467</w:t>
            </w:r>
          </w:p>
        </w:tc>
        <w:tc>
          <w:tcPr>
            <w:tcW w:w="1719" w:type="dxa"/>
            <w:tcBorders>
              <w:top w:val="nil"/>
              <w:left w:val="nil"/>
              <w:bottom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2.415</w:t>
            </w:r>
          </w:p>
        </w:tc>
      </w:tr>
      <w:tr w:rsidR="00A57899" w:rsidTr="00BC104B">
        <w:tc>
          <w:tcPr>
            <w:tcW w:w="852" w:type="dxa"/>
            <w:tcBorders>
              <w:top w:val="nil"/>
              <w:left w:val="nil"/>
              <w:bottom w:val="single" w:sz="4" w:space="0" w:color="000000" w:themeColor="text1"/>
              <w:right w:val="nil"/>
            </w:tcBorders>
            <w:vAlign w:val="center"/>
          </w:tcPr>
          <w:p w:rsidR="00A57899" w:rsidRDefault="00A57899" w:rsidP="00BC104B">
            <w:pPr>
              <w:jc w:val="center"/>
            </w:pPr>
            <w:r>
              <w:t>4</w:t>
            </w:r>
          </w:p>
        </w:tc>
        <w:tc>
          <w:tcPr>
            <w:tcW w:w="1340" w:type="dxa"/>
            <w:tcBorders>
              <w:top w:val="nil"/>
              <w:left w:val="nil"/>
              <w:bottom w:val="single" w:sz="4" w:space="0" w:color="000000" w:themeColor="text1"/>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2</w:t>
            </w:r>
          </w:p>
        </w:tc>
        <w:tc>
          <w:tcPr>
            <w:tcW w:w="1332" w:type="dxa"/>
            <w:tcBorders>
              <w:top w:val="nil"/>
              <w:left w:val="nil"/>
              <w:bottom w:val="single" w:sz="4" w:space="0" w:color="000000" w:themeColor="text1"/>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451,11</w:t>
            </w:r>
          </w:p>
        </w:tc>
        <w:tc>
          <w:tcPr>
            <w:tcW w:w="1349" w:type="dxa"/>
            <w:tcBorders>
              <w:top w:val="nil"/>
              <w:left w:val="nil"/>
              <w:bottom w:val="single" w:sz="4" w:space="0" w:color="000000" w:themeColor="text1"/>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23</w:t>
            </w:r>
          </w:p>
        </w:tc>
        <w:tc>
          <w:tcPr>
            <w:tcW w:w="1346" w:type="dxa"/>
            <w:tcBorders>
              <w:top w:val="nil"/>
              <w:left w:val="nil"/>
              <w:bottom w:val="single" w:sz="4" w:space="0" w:color="000000" w:themeColor="text1"/>
              <w:right w:val="nil"/>
            </w:tcBorders>
          </w:tcPr>
          <w:p w:rsidR="00A57899" w:rsidRPr="00132865" w:rsidRDefault="00A57899" w:rsidP="00BC104B">
            <w:pPr>
              <w:jc w:val="center"/>
              <w:rPr>
                <w:color w:val="000000"/>
              </w:rPr>
            </w:pPr>
            <w:r w:rsidRPr="00132865">
              <w:rPr>
                <w:color w:val="000000"/>
              </w:rPr>
              <w:t>420.766</w:t>
            </w:r>
          </w:p>
        </w:tc>
        <w:tc>
          <w:tcPr>
            <w:tcW w:w="1719" w:type="dxa"/>
            <w:tcBorders>
              <w:top w:val="nil"/>
              <w:left w:val="nil"/>
              <w:bottom w:val="single" w:sz="4" w:space="0" w:color="000000" w:themeColor="text1"/>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2.335</w:t>
            </w:r>
          </w:p>
        </w:tc>
      </w:tr>
      <w:tr w:rsidR="00A57899" w:rsidTr="00BC104B">
        <w:tc>
          <w:tcPr>
            <w:tcW w:w="852" w:type="dxa"/>
            <w:tcBorders>
              <w:left w:val="nil"/>
              <w:right w:val="nil"/>
            </w:tcBorders>
            <w:vAlign w:val="center"/>
          </w:tcPr>
          <w:p w:rsidR="00A57899" w:rsidRDefault="00A57899" w:rsidP="00BC104B">
            <w:pPr>
              <w:jc w:val="center"/>
            </w:pPr>
            <w:r>
              <w:t>Jumlah</w:t>
            </w:r>
          </w:p>
        </w:tc>
        <w:tc>
          <w:tcPr>
            <w:tcW w:w="1340" w:type="dxa"/>
            <w:tcBorders>
              <w:left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9</w:t>
            </w:r>
          </w:p>
        </w:tc>
        <w:tc>
          <w:tcPr>
            <w:tcW w:w="1332" w:type="dxa"/>
            <w:tcBorders>
              <w:left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3.015,31</w:t>
            </w:r>
          </w:p>
        </w:tc>
        <w:tc>
          <w:tcPr>
            <w:tcW w:w="1349" w:type="dxa"/>
            <w:tcBorders>
              <w:left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143</w:t>
            </w:r>
          </w:p>
        </w:tc>
        <w:tc>
          <w:tcPr>
            <w:tcW w:w="1346" w:type="dxa"/>
            <w:tcBorders>
              <w:left w:val="nil"/>
              <w:right w:val="nil"/>
            </w:tcBorders>
          </w:tcPr>
          <w:p w:rsidR="00A57899" w:rsidRPr="00132865" w:rsidRDefault="00A57899" w:rsidP="00BC104B">
            <w:pPr>
              <w:jc w:val="center"/>
              <w:rPr>
                <w:color w:val="000000"/>
              </w:rPr>
            </w:pPr>
            <w:r w:rsidRPr="00132865">
              <w:rPr>
                <w:color w:val="000000"/>
              </w:rPr>
              <w:t>2.240.796</w:t>
            </w:r>
          </w:p>
        </w:tc>
        <w:tc>
          <w:tcPr>
            <w:tcW w:w="1719" w:type="dxa"/>
            <w:tcBorders>
              <w:left w:val="nil"/>
              <w:right w:val="nil"/>
            </w:tcBorders>
          </w:tcPr>
          <w:p w:rsidR="00A57899" w:rsidRPr="00132865" w:rsidRDefault="00A57899" w:rsidP="00BC104B">
            <w:pPr>
              <w:autoSpaceDE w:val="0"/>
              <w:autoSpaceDN w:val="0"/>
              <w:adjustRightInd w:val="0"/>
              <w:jc w:val="center"/>
              <w:rPr>
                <w:color w:val="000000"/>
                <w:lang w:eastAsia="id-ID"/>
              </w:rPr>
            </w:pPr>
            <w:r w:rsidRPr="00132865">
              <w:rPr>
                <w:color w:val="000000"/>
                <w:lang w:eastAsia="id-ID"/>
              </w:rPr>
              <w:t>7.512</w:t>
            </w:r>
          </w:p>
        </w:tc>
      </w:tr>
    </w:tbl>
    <w:p w:rsidR="00A57899" w:rsidRPr="00C30788" w:rsidRDefault="00A57899" w:rsidP="00A57899">
      <w:pPr>
        <w:jc w:val="both"/>
        <w:rPr>
          <w:sz w:val="22"/>
          <w:szCs w:val="22"/>
        </w:rPr>
      </w:pPr>
      <w:r>
        <w:rPr>
          <w:sz w:val="22"/>
          <w:szCs w:val="22"/>
        </w:rPr>
        <w:t>Sumber: Data primer, 2017</w:t>
      </w:r>
    </w:p>
    <w:p w:rsidR="00A57899" w:rsidRDefault="00A57899" w:rsidP="00A57899">
      <w:pPr>
        <w:pStyle w:val="ListParagraph"/>
        <w:ind w:left="0" w:firstLine="720"/>
        <w:contextualSpacing w:val="0"/>
        <w:jc w:val="both"/>
        <w:rPr>
          <w:sz w:val="22"/>
          <w:szCs w:val="22"/>
        </w:rPr>
      </w:pPr>
      <w:r w:rsidRPr="00C30788">
        <w:rPr>
          <w:sz w:val="22"/>
          <w:szCs w:val="22"/>
        </w:rPr>
        <w:t xml:space="preserve">Berdasarkan tabel 3, produksi dan </w:t>
      </w:r>
      <w:r w:rsidRPr="00C30788">
        <w:rPr>
          <w:i/>
          <w:sz w:val="22"/>
          <w:szCs w:val="22"/>
        </w:rPr>
        <w:t>losses</w:t>
      </w:r>
      <w:r w:rsidRPr="00C30788">
        <w:rPr>
          <w:sz w:val="22"/>
          <w:szCs w:val="22"/>
        </w:rPr>
        <w:t xml:space="preserve"> buah mentah sesudah kebijakan pengurangan mandor selama 95 hari adalah sebesar 2.240.796 janjang dan 7.512 janjang.Persentase </w:t>
      </w:r>
      <w:r w:rsidRPr="00C30788">
        <w:rPr>
          <w:i/>
          <w:sz w:val="22"/>
          <w:szCs w:val="22"/>
        </w:rPr>
        <w:t>losses</w:t>
      </w:r>
      <w:r w:rsidRPr="00C30788">
        <w:rPr>
          <w:sz w:val="22"/>
          <w:szCs w:val="22"/>
        </w:rPr>
        <w:t xml:space="preserve"> sesudah pengurangan mandor sebesar 0,335% dari produksi.Sesudah pengurangan mandor terdapat sedikit kenaikan kinerja tenaga kerja panen menjadi 164 janjang/hari. Apabila dilihat </w:t>
      </w:r>
      <w:r w:rsidRPr="00C30788">
        <w:rPr>
          <w:sz w:val="22"/>
          <w:szCs w:val="22"/>
        </w:rPr>
        <w:lastRenderedPageBreak/>
        <w:t xml:space="preserve">dari rata-rata basis janjang di kebun Bangun Bandar yang sebesar 110 janjang/hari, maka kinerja tenaga kerja panen tersebut sudah tergolong baik. Sehingga dari data diatas, sesudah pengurangan mandor terjadi peningkatan kinerja tenaga kerja dan penurunan </w:t>
      </w:r>
      <w:r w:rsidRPr="00C30788">
        <w:rPr>
          <w:i/>
          <w:sz w:val="22"/>
          <w:szCs w:val="22"/>
        </w:rPr>
        <w:t>losses</w:t>
      </w:r>
      <w:r w:rsidRPr="00C30788">
        <w:rPr>
          <w:sz w:val="22"/>
          <w:szCs w:val="22"/>
        </w:rPr>
        <w:t xml:space="preserve"> namun tidak terlalu besar.</w:t>
      </w:r>
    </w:p>
    <w:p w:rsidR="00A57899" w:rsidRDefault="00A57899" w:rsidP="00A57899">
      <w:pPr>
        <w:jc w:val="both"/>
        <w:rPr>
          <w:sz w:val="22"/>
          <w:szCs w:val="22"/>
        </w:rPr>
      </w:pPr>
      <w:r>
        <w:rPr>
          <w:sz w:val="22"/>
          <w:szCs w:val="22"/>
        </w:rPr>
        <w:t xml:space="preserve">Tabel 4. Hasil Uji </w:t>
      </w:r>
      <w:r w:rsidRPr="00132865">
        <w:rPr>
          <w:i/>
          <w:sz w:val="22"/>
          <w:szCs w:val="22"/>
        </w:rPr>
        <w:t>Paired Sample t-tests</w:t>
      </w:r>
    </w:p>
    <w:tbl>
      <w:tblPr>
        <w:tblStyle w:val="TableGrid"/>
        <w:tblW w:w="8153" w:type="dxa"/>
        <w:tblInd w:w="108" w:type="dxa"/>
        <w:tblLook w:val="04A0" w:firstRow="1" w:lastRow="0" w:firstColumn="1" w:lastColumn="0" w:noHBand="0" w:noVBand="1"/>
      </w:tblPr>
      <w:tblGrid>
        <w:gridCol w:w="1070"/>
        <w:gridCol w:w="1265"/>
        <w:gridCol w:w="1682"/>
        <w:gridCol w:w="1669"/>
        <w:gridCol w:w="987"/>
        <w:gridCol w:w="699"/>
        <w:gridCol w:w="781"/>
      </w:tblGrid>
      <w:tr w:rsidR="00A57899" w:rsidTr="00BC104B">
        <w:tc>
          <w:tcPr>
            <w:tcW w:w="999" w:type="dxa"/>
            <w:vMerge w:val="restart"/>
            <w:tcBorders>
              <w:left w:val="nil"/>
              <w:bottom w:val="single" w:sz="4" w:space="0" w:color="auto"/>
              <w:right w:val="nil"/>
            </w:tcBorders>
            <w:vAlign w:val="center"/>
          </w:tcPr>
          <w:p w:rsidR="00A57899" w:rsidRDefault="00A57899" w:rsidP="00BC104B">
            <w:pPr>
              <w:jc w:val="center"/>
            </w:pPr>
            <w:r>
              <w:t>Variabel</w:t>
            </w:r>
          </w:p>
        </w:tc>
        <w:tc>
          <w:tcPr>
            <w:tcW w:w="1269" w:type="dxa"/>
            <w:vMerge w:val="restart"/>
            <w:tcBorders>
              <w:left w:val="nil"/>
              <w:bottom w:val="single" w:sz="4" w:space="0" w:color="auto"/>
              <w:right w:val="nil"/>
            </w:tcBorders>
            <w:vAlign w:val="center"/>
          </w:tcPr>
          <w:p w:rsidR="00A57899" w:rsidRPr="00132865" w:rsidRDefault="00A57899" w:rsidP="00BC104B">
            <w:pPr>
              <w:jc w:val="center"/>
              <w:rPr>
                <w:i/>
              </w:rPr>
            </w:pPr>
            <w:r w:rsidRPr="00132865">
              <w:rPr>
                <w:i/>
              </w:rPr>
              <w:t>Mean</w:t>
            </w:r>
          </w:p>
        </w:tc>
        <w:tc>
          <w:tcPr>
            <w:tcW w:w="3402" w:type="dxa"/>
            <w:gridSpan w:val="2"/>
            <w:tcBorders>
              <w:left w:val="nil"/>
              <w:bottom w:val="single" w:sz="4" w:space="0" w:color="auto"/>
              <w:right w:val="nil"/>
            </w:tcBorders>
            <w:vAlign w:val="center"/>
          </w:tcPr>
          <w:p w:rsidR="00A57899" w:rsidRPr="00132865" w:rsidRDefault="00A57899" w:rsidP="00BC104B">
            <w:pPr>
              <w:jc w:val="center"/>
              <w:rPr>
                <w:i/>
              </w:rPr>
            </w:pPr>
            <w:r w:rsidRPr="00EE1763">
              <w:rPr>
                <w:b/>
                <w:i/>
                <w:sz w:val="18"/>
                <w:szCs w:val="18"/>
              </w:rPr>
              <w:t>95% confidence interval of the difference</w:t>
            </w:r>
          </w:p>
        </w:tc>
        <w:tc>
          <w:tcPr>
            <w:tcW w:w="993" w:type="dxa"/>
            <w:vMerge w:val="restart"/>
            <w:tcBorders>
              <w:left w:val="nil"/>
              <w:right w:val="nil"/>
            </w:tcBorders>
            <w:vAlign w:val="center"/>
          </w:tcPr>
          <w:p w:rsidR="00A57899" w:rsidRDefault="00A57899" w:rsidP="00BC104B">
            <w:pPr>
              <w:jc w:val="center"/>
            </w:pPr>
            <w:r>
              <w:t>t. hitung</w:t>
            </w:r>
          </w:p>
        </w:tc>
        <w:tc>
          <w:tcPr>
            <w:tcW w:w="708" w:type="dxa"/>
            <w:vMerge w:val="restart"/>
            <w:tcBorders>
              <w:left w:val="nil"/>
              <w:right w:val="nil"/>
            </w:tcBorders>
            <w:vAlign w:val="center"/>
          </w:tcPr>
          <w:p w:rsidR="00A57899" w:rsidRDefault="00A57899" w:rsidP="00BC104B">
            <w:pPr>
              <w:jc w:val="center"/>
            </w:pPr>
            <w:r>
              <w:t>df</w:t>
            </w:r>
          </w:p>
        </w:tc>
        <w:tc>
          <w:tcPr>
            <w:tcW w:w="782" w:type="dxa"/>
            <w:vMerge w:val="restart"/>
            <w:tcBorders>
              <w:left w:val="nil"/>
              <w:right w:val="nil"/>
            </w:tcBorders>
            <w:vAlign w:val="center"/>
          </w:tcPr>
          <w:p w:rsidR="00A57899" w:rsidRDefault="00A57899" w:rsidP="00BC104B">
            <w:pPr>
              <w:jc w:val="center"/>
            </w:pPr>
            <w:r>
              <w:t>Sig.</w:t>
            </w:r>
          </w:p>
        </w:tc>
      </w:tr>
      <w:tr w:rsidR="00A57899" w:rsidTr="00BC104B">
        <w:tc>
          <w:tcPr>
            <w:tcW w:w="999" w:type="dxa"/>
            <w:vMerge/>
            <w:tcBorders>
              <w:top w:val="nil"/>
              <w:left w:val="nil"/>
              <w:bottom w:val="single" w:sz="4" w:space="0" w:color="auto"/>
              <w:right w:val="nil"/>
            </w:tcBorders>
          </w:tcPr>
          <w:p w:rsidR="00A57899" w:rsidRDefault="00A57899" w:rsidP="00BC104B">
            <w:pPr>
              <w:jc w:val="both"/>
            </w:pPr>
          </w:p>
        </w:tc>
        <w:tc>
          <w:tcPr>
            <w:tcW w:w="1269" w:type="dxa"/>
            <w:vMerge/>
            <w:tcBorders>
              <w:top w:val="nil"/>
              <w:left w:val="nil"/>
              <w:bottom w:val="single" w:sz="4" w:space="0" w:color="auto"/>
              <w:right w:val="nil"/>
            </w:tcBorders>
          </w:tcPr>
          <w:p w:rsidR="00A57899" w:rsidRPr="00132865" w:rsidRDefault="00A57899" w:rsidP="00BC104B">
            <w:pPr>
              <w:jc w:val="both"/>
              <w:rPr>
                <w:i/>
              </w:rPr>
            </w:pPr>
          </w:p>
        </w:tc>
        <w:tc>
          <w:tcPr>
            <w:tcW w:w="1701" w:type="dxa"/>
            <w:tcBorders>
              <w:top w:val="single" w:sz="4" w:space="0" w:color="auto"/>
              <w:left w:val="nil"/>
              <w:right w:val="nil"/>
            </w:tcBorders>
            <w:vAlign w:val="center"/>
          </w:tcPr>
          <w:p w:rsidR="00A57899" w:rsidRPr="00132865" w:rsidRDefault="00A57899" w:rsidP="00BC104B">
            <w:pPr>
              <w:jc w:val="center"/>
              <w:rPr>
                <w:i/>
              </w:rPr>
            </w:pPr>
            <w:r w:rsidRPr="00132865">
              <w:rPr>
                <w:i/>
              </w:rPr>
              <w:t>Lower</w:t>
            </w:r>
          </w:p>
        </w:tc>
        <w:tc>
          <w:tcPr>
            <w:tcW w:w="1701" w:type="dxa"/>
            <w:tcBorders>
              <w:top w:val="single" w:sz="4" w:space="0" w:color="auto"/>
              <w:left w:val="nil"/>
              <w:right w:val="nil"/>
            </w:tcBorders>
            <w:vAlign w:val="center"/>
          </w:tcPr>
          <w:p w:rsidR="00A57899" w:rsidRPr="00132865" w:rsidRDefault="00A57899" w:rsidP="00BC104B">
            <w:pPr>
              <w:jc w:val="center"/>
              <w:rPr>
                <w:i/>
              </w:rPr>
            </w:pPr>
            <w:r w:rsidRPr="00132865">
              <w:rPr>
                <w:i/>
              </w:rPr>
              <w:t>Upper</w:t>
            </w:r>
          </w:p>
        </w:tc>
        <w:tc>
          <w:tcPr>
            <w:tcW w:w="993" w:type="dxa"/>
            <w:vMerge/>
            <w:tcBorders>
              <w:top w:val="nil"/>
              <w:left w:val="nil"/>
              <w:right w:val="nil"/>
            </w:tcBorders>
          </w:tcPr>
          <w:p w:rsidR="00A57899" w:rsidRDefault="00A57899" w:rsidP="00BC104B">
            <w:pPr>
              <w:jc w:val="both"/>
            </w:pPr>
          </w:p>
        </w:tc>
        <w:tc>
          <w:tcPr>
            <w:tcW w:w="708" w:type="dxa"/>
            <w:vMerge/>
            <w:tcBorders>
              <w:top w:val="nil"/>
              <w:left w:val="nil"/>
              <w:right w:val="nil"/>
            </w:tcBorders>
          </w:tcPr>
          <w:p w:rsidR="00A57899" w:rsidRDefault="00A57899" w:rsidP="00BC104B">
            <w:pPr>
              <w:jc w:val="both"/>
            </w:pPr>
          </w:p>
        </w:tc>
        <w:tc>
          <w:tcPr>
            <w:tcW w:w="782" w:type="dxa"/>
            <w:vMerge/>
            <w:tcBorders>
              <w:top w:val="nil"/>
              <w:left w:val="nil"/>
              <w:right w:val="nil"/>
            </w:tcBorders>
          </w:tcPr>
          <w:p w:rsidR="00A57899" w:rsidRDefault="00A57899" w:rsidP="00BC104B">
            <w:pPr>
              <w:jc w:val="both"/>
            </w:pPr>
          </w:p>
        </w:tc>
      </w:tr>
      <w:tr w:rsidR="00A57899" w:rsidTr="00BC104B">
        <w:tc>
          <w:tcPr>
            <w:tcW w:w="999" w:type="dxa"/>
            <w:tcBorders>
              <w:top w:val="single" w:sz="4" w:space="0" w:color="auto"/>
              <w:left w:val="nil"/>
              <w:bottom w:val="nil"/>
              <w:right w:val="nil"/>
            </w:tcBorders>
          </w:tcPr>
          <w:p w:rsidR="00A57899" w:rsidRDefault="00A57899" w:rsidP="00BC104B">
            <w:pPr>
              <w:jc w:val="both"/>
            </w:pPr>
            <w:r>
              <w:t>Produksi</w:t>
            </w:r>
          </w:p>
        </w:tc>
        <w:tc>
          <w:tcPr>
            <w:tcW w:w="1269" w:type="dxa"/>
            <w:tcBorders>
              <w:top w:val="single" w:sz="4" w:space="0" w:color="auto"/>
              <w:left w:val="nil"/>
              <w:bottom w:val="nil"/>
              <w:right w:val="nil"/>
            </w:tcBorders>
            <w:vAlign w:val="center"/>
          </w:tcPr>
          <w:p w:rsidR="00A57899" w:rsidRPr="00132865" w:rsidRDefault="00A57899" w:rsidP="00BC104B">
            <w:pPr>
              <w:jc w:val="center"/>
            </w:pPr>
            <w:r w:rsidRPr="00132865">
              <w:t>-1.251,368</w:t>
            </w:r>
          </w:p>
        </w:tc>
        <w:tc>
          <w:tcPr>
            <w:tcW w:w="1701" w:type="dxa"/>
            <w:tcBorders>
              <w:left w:val="nil"/>
              <w:bottom w:val="nil"/>
              <w:right w:val="nil"/>
            </w:tcBorders>
            <w:vAlign w:val="center"/>
          </w:tcPr>
          <w:p w:rsidR="00A57899" w:rsidRPr="00132865" w:rsidRDefault="00A57899" w:rsidP="00BC104B">
            <w:pPr>
              <w:jc w:val="center"/>
            </w:pPr>
            <w:r w:rsidRPr="00132865">
              <w:t>-2.504,146</w:t>
            </w:r>
          </w:p>
        </w:tc>
        <w:tc>
          <w:tcPr>
            <w:tcW w:w="1701" w:type="dxa"/>
            <w:tcBorders>
              <w:left w:val="nil"/>
              <w:bottom w:val="nil"/>
              <w:right w:val="nil"/>
            </w:tcBorders>
            <w:vAlign w:val="center"/>
          </w:tcPr>
          <w:p w:rsidR="00A57899" w:rsidRPr="00132865" w:rsidRDefault="00A57899" w:rsidP="00BC104B">
            <w:pPr>
              <w:jc w:val="center"/>
            </w:pPr>
            <w:r w:rsidRPr="00132865">
              <w:t>1,409</w:t>
            </w:r>
          </w:p>
        </w:tc>
        <w:tc>
          <w:tcPr>
            <w:tcW w:w="993" w:type="dxa"/>
            <w:tcBorders>
              <w:left w:val="nil"/>
              <w:bottom w:val="nil"/>
              <w:right w:val="nil"/>
            </w:tcBorders>
            <w:vAlign w:val="center"/>
          </w:tcPr>
          <w:p w:rsidR="00A57899" w:rsidRPr="00132865" w:rsidRDefault="00A57899" w:rsidP="00BC104B">
            <w:pPr>
              <w:jc w:val="center"/>
            </w:pPr>
            <w:r w:rsidRPr="00132865">
              <w:t>-1,983</w:t>
            </w:r>
          </w:p>
        </w:tc>
        <w:tc>
          <w:tcPr>
            <w:tcW w:w="708" w:type="dxa"/>
            <w:tcBorders>
              <w:left w:val="nil"/>
              <w:bottom w:val="nil"/>
              <w:right w:val="nil"/>
            </w:tcBorders>
            <w:vAlign w:val="center"/>
          </w:tcPr>
          <w:p w:rsidR="00A57899" w:rsidRPr="00132865" w:rsidRDefault="00A57899" w:rsidP="00BC104B">
            <w:pPr>
              <w:jc w:val="center"/>
            </w:pPr>
            <w:r w:rsidRPr="00132865">
              <w:t>94</w:t>
            </w:r>
          </w:p>
        </w:tc>
        <w:tc>
          <w:tcPr>
            <w:tcW w:w="782" w:type="dxa"/>
            <w:tcBorders>
              <w:left w:val="nil"/>
              <w:bottom w:val="nil"/>
              <w:right w:val="nil"/>
            </w:tcBorders>
            <w:vAlign w:val="center"/>
          </w:tcPr>
          <w:p w:rsidR="00A57899" w:rsidRPr="00132865" w:rsidRDefault="00A57899" w:rsidP="00BC104B">
            <w:pPr>
              <w:jc w:val="center"/>
            </w:pPr>
            <w:r w:rsidRPr="00132865">
              <w:t>0,050</w:t>
            </w:r>
          </w:p>
        </w:tc>
      </w:tr>
      <w:tr w:rsidR="00A57899" w:rsidTr="00BC104B">
        <w:tc>
          <w:tcPr>
            <w:tcW w:w="999" w:type="dxa"/>
            <w:tcBorders>
              <w:top w:val="nil"/>
              <w:left w:val="nil"/>
              <w:bottom w:val="single" w:sz="4" w:space="0" w:color="auto"/>
              <w:right w:val="nil"/>
            </w:tcBorders>
          </w:tcPr>
          <w:p w:rsidR="00A57899" w:rsidRPr="000B6355" w:rsidRDefault="00A57899" w:rsidP="00BC104B">
            <w:pPr>
              <w:jc w:val="both"/>
            </w:pPr>
            <w:r>
              <w:rPr>
                <w:i/>
              </w:rPr>
              <w:t>Losses</w:t>
            </w:r>
          </w:p>
        </w:tc>
        <w:tc>
          <w:tcPr>
            <w:tcW w:w="1269" w:type="dxa"/>
            <w:tcBorders>
              <w:top w:val="nil"/>
              <w:left w:val="nil"/>
              <w:bottom w:val="single" w:sz="4" w:space="0" w:color="auto"/>
              <w:right w:val="nil"/>
            </w:tcBorders>
            <w:vAlign w:val="center"/>
          </w:tcPr>
          <w:p w:rsidR="00A57899" w:rsidRPr="00132865" w:rsidRDefault="00A57899" w:rsidP="00BC104B">
            <w:pPr>
              <w:jc w:val="center"/>
            </w:pPr>
            <w:r w:rsidRPr="00132865">
              <w:t>-3,737</w:t>
            </w:r>
          </w:p>
        </w:tc>
        <w:tc>
          <w:tcPr>
            <w:tcW w:w="1701" w:type="dxa"/>
            <w:tcBorders>
              <w:top w:val="nil"/>
              <w:left w:val="nil"/>
              <w:bottom w:val="single" w:sz="4" w:space="0" w:color="auto"/>
              <w:right w:val="nil"/>
            </w:tcBorders>
            <w:vAlign w:val="center"/>
          </w:tcPr>
          <w:p w:rsidR="00A57899" w:rsidRPr="00132865" w:rsidRDefault="00A57899" w:rsidP="00BC104B">
            <w:pPr>
              <w:jc w:val="center"/>
            </w:pPr>
            <w:r w:rsidRPr="00132865">
              <w:t>-9,759</w:t>
            </w:r>
          </w:p>
        </w:tc>
        <w:tc>
          <w:tcPr>
            <w:tcW w:w="1701" w:type="dxa"/>
            <w:tcBorders>
              <w:top w:val="nil"/>
              <w:left w:val="nil"/>
              <w:bottom w:val="single" w:sz="4" w:space="0" w:color="auto"/>
              <w:right w:val="nil"/>
            </w:tcBorders>
            <w:vAlign w:val="center"/>
          </w:tcPr>
          <w:p w:rsidR="00A57899" w:rsidRPr="00132865" w:rsidRDefault="00A57899" w:rsidP="00BC104B">
            <w:pPr>
              <w:jc w:val="center"/>
            </w:pPr>
            <w:r w:rsidRPr="00132865">
              <w:t>2,285</w:t>
            </w:r>
          </w:p>
        </w:tc>
        <w:tc>
          <w:tcPr>
            <w:tcW w:w="993" w:type="dxa"/>
            <w:tcBorders>
              <w:top w:val="nil"/>
              <w:left w:val="nil"/>
              <w:bottom w:val="single" w:sz="4" w:space="0" w:color="auto"/>
              <w:right w:val="nil"/>
            </w:tcBorders>
            <w:vAlign w:val="center"/>
          </w:tcPr>
          <w:p w:rsidR="00A57899" w:rsidRPr="00132865" w:rsidRDefault="00A57899" w:rsidP="00BC104B">
            <w:pPr>
              <w:jc w:val="center"/>
            </w:pPr>
            <w:r w:rsidRPr="00132865">
              <w:t>-1,232</w:t>
            </w:r>
          </w:p>
        </w:tc>
        <w:tc>
          <w:tcPr>
            <w:tcW w:w="708" w:type="dxa"/>
            <w:tcBorders>
              <w:top w:val="nil"/>
              <w:left w:val="nil"/>
              <w:bottom w:val="single" w:sz="4" w:space="0" w:color="auto"/>
              <w:right w:val="nil"/>
            </w:tcBorders>
            <w:vAlign w:val="center"/>
          </w:tcPr>
          <w:p w:rsidR="00A57899" w:rsidRPr="00132865" w:rsidRDefault="00A57899" w:rsidP="00BC104B">
            <w:pPr>
              <w:jc w:val="center"/>
            </w:pPr>
            <w:r w:rsidRPr="00132865">
              <w:t>94</w:t>
            </w:r>
          </w:p>
        </w:tc>
        <w:tc>
          <w:tcPr>
            <w:tcW w:w="782" w:type="dxa"/>
            <w:tcBorders>
              <w:top w:val="nil"/>
              <w:left w:val="nil"/>
              <w:bottom w:val="single" w:sz="4" w:space="0" w:color="auto"/>
              <w:right w:val="nil"/>
            </w:tcBorders>
            <w:vAlign w:val="center"/>
          </w:tcPr>
          <w:p w:rsidR="00A57899" w:rsidRPr="00132865" w:rsidRDefault="00A57899" w:rsidP="00BC104B">
            <w:pPr>
              <w:jc w:val="center"/>
            </w:pPr>
            <w:r w:rsidRPr="00132865">
              <w:t>0,221</w:t>
            </w:r>
          </w:p>
        </w:tc>
      </w:tr>
    </w:tbl>
    <w:p w:rsidR="00A57899" w:rsidRPr="00132865" w:rsidRDefault="00A57899" w:rsidP="00A57899">
      <w:pPr>
        <w:jc w:val="both"/>
        <w:rPr>
          <w:sz w:val="22"/>
          <w:szCs w:val="22"/>
        </w:rPr>
      </w:pPr>
      <w:r>
        <w:rPr>
          <w:sz w:val="22"/>
          <w:szCs w:val="22"/>
        </w:rPr>
        <w:t>Sumber: Analisis data primer, 2017</w:t>
      </w:r>
    </w:p>
    <w:p w:rsidR="00A57899" w:rsidRPr="00C30788" w:rsidRDefault="00A57899" w:rsidP="00A57899">
      <w:pPr>
        <w:pStyle w:val="ListParagraph"/>
        <w:ind w:left="0" w:firstLine="720"/>
        <w:contextualSpacing w:val="0"/>
        <w:jc w:val="both"/>
        <w:rPr>
          <w:sz w:val="22"/>
          <w:szCs w:val="22"/>
          <w:lang w:val="en-US"/>
        </w:rPr>
      </w:pPr>
      <w:r w:rsidRPr="00C30788">
        <w:rPr>
          <w:sz w:val="22"/>
          <w:szCs w:val="22"/>
          <w:lang w:val="en-US"/>
        </w:rPr>
        <w:t>Hasil uji</w:t>
      </w:r>
      <w:r w:rsidRPr="00C30788">
        <w:rPr>
          <w:i/>
          <w:iCs/>
          <w:sz w:val="22"/>
          <w:szCs w:val="22"/>
          <w:lang w:val="en-US"/>
        </w:rPr>
        <w:t xml:space="preserve"> paired sample t-test</w:t>
      </w:r>
      <w:r w:rsidRPr="00C30788">
        <w:rPr>
          <w:sz w:val="22"/>
          <w:szCs w:val="22"/>
          <w:lang w:val="en-US"/>
        </w:rPr>
        <w:t xml:space="preserve"> menunjukkan tidak ada perbedaan produksi</w:t>
      </w:r>
      <w:r w:rsidRPr="00C30788">
        <w:rPr>
          <w:sz w:val="22"/>
          <w:szCs w:val="22"/>
        </w:rPr>
        <w:t xml:space="preserve"> dan </w:t>
      </w:r>
      <w:r w:rsidRPr="00C30788">
        <w:rPr>
          <w:i/>
          <w:sz w:val="22"/>
          <w:szCs w:val="22"/>
        </w:rPr>
        <w:t>losses</w:t>
      </w:r>
      <w:r w:rsidRPr="00C30788">
        <w:rPr>
          <w:sz w:val="22"/>
          <w:szCs w:val="22"/>
          <w:lang w:val="en-US"/>
        </w:rPr>
        <w:t xml:space="preserve"> yang signifikan antara sebelum  dan sesudah pengurangan mandor, nilai p &gt;α = 0,05. Hal ini karena mandor yang ada mampu untuk mengawasi secara tegas tenaga kerja yang saat ini ia pegang. </w:t>
      </w:r>
      <w:r w:rsidRPr="00C30788">
        <w:rPr>
          <w:sz w:val="22"/>
          <w:szCs w:val="22"/>
        </w:rPr>
        <w:t xml:space="preserve">Hal ini disampaikan dalam hasil penelitian </w:t>
      </w:r>
      <w:r w:rsidRPr="00C30788">
        <w:rPr>
          <w:sz w:val="22"/>
          <w:szCs w:val="22"/>
        </w:rPr>
        <w:fldChar w:fldCharType="begin" w:fldLock="1"/>
      </w:r>
      <w:r w:rsidRPr="00C30788">
        <w:rPr>
          <w:sz w:val="22"/>
          <w:szCs w:val="22"/>
        </w:rPr>
        <w:instrText>ADDIN CSL_CITATION { "citationItems" : [ { "id" : "ITEM-1", "itemData" : { "abstract" : "This research aims to know the harvest foreman leadership style, motivation and performance level of harvesters, relation between harvest foreman leadership style and performance of harvester, relation between work motivation of harvesters and performance of harvester, and relation between harvest foreman leadership style and work motivation of harvesters. This research was conducted by survey method at PT Perkebunan Nusantara VII UKKS Rejosari Natar of South Lampung. The research samples consisted of 50 people who were drawn from the population by proporsional random sampling. The data was collected from June to July 2015 and analyzed by descriptive and rank spearman correlation analysis. The results showed as follows. The harvest foreman leadership style was democratic leadership style. The work motivation of harvesters was in high category. The performance of harvesters was in high category. The leadership style of harvest foreman was related to the performance of harvesters. The work motivation of harvesters was related to the performance of harvesters. The leadership style of harvest foreman was related to the motivation of harvesters.", "author" : [ { "dropping-particle" : "", "family" : "Alimah", "given" : "Faridatu Cholqiati", "non-dropping-particle" : "", "parse-names" : false, "suffix" : "" }, { "dropping-particle" : "", "family" : "Sayekti", "given" : "Wuryaningsih Dwi", "non-dropping-particle" : "", "parse-names" : false, "suffix" : "" }, { "dropping-particle" : "", "family" : "Soelaiman", "given" : "Achdiansyah", "non-dropping-particle" : "", "parse-names" : false, "suffix" : "" } ], "container-title" : "Jurnal Ilmu Ilmu Agribisnis", "id" : "ITEM-1", "issue" : "3", "issued" : { "date-parts" : [ [ "2016" ] ] }, "page" : "294-300", "title" : "The Relation of Harvest Foreman Leadership Style and Work Motivation of Harvesters on Performance of Harvesters at PT Perkebunan Nusantara VII Part of Palm Oil Plantation atRejosari Natar of South Lampung", "type" : "article-journal", "volume" : "4" }, "uris" : [ "http://www.mendeley.com/documents/?uuid=df461d77-b9d6-4ec1-aa9f-514c2d297637" ] } ], "mendeley" : { "formattedCitation" : "(Alimah, Sayekti, &amp; Soelaiman, 2016)", "manualFormatting" : "Alimah, Sayekti, &amp; Soelaiman (2016)", "plainTextFormattedCitation" : "(Alimah, Sayekti, &amp; Soelaiman, 2016)", "previouslyFormattedCitation" : "(Alimah, Sayekti, &amp; Soelaiman, 2016)" }, "properties" : {  }, "schema" : "https://github.com/citation-style-language/schema/raw/master/csl-citation.json" }</w:instrText>
      </w:r>
      <w:r w:rsidRPr="00C30788">
        <w:rPr>
          <w:sz w:val="22"/>
          <w:szCs w:val="22"/>
        </w:rPr>
        <w:fldChar w:fldCharType="separate"/>
      </w:r>
      <w:r w:rsidRPr="00C30788">
        <w:rPr>
          <w:sz w:val="22"/>
          <w:szCs w:val="22"/>
        </w:rPr>
        <w:t>Alimah, Sayekti, &amp; Soelaiman (2016)</w:t>
      </w:r>
      <w:r w:rsidRPr="00C30788">
        <w:rPr>
          <w:sz w:val="22"/>
          <w:szCs w:val="22"/>
        </w:rPr>
        <w:fldChar w:fldCharType="end"/>
      </w:r>
      <w:r w:rsidRPr="00C30788">
        <w:rPr>
          <w:sz w:val="22"/>
          <w:szCs w:val="22"/>
        </w:rPr>
        <w:t xml:space="preserve">, bahwa kinerja pemanen motivasi pemanen dalam bekerja memiliki hubungan dengan gaya kepemimpinan mandor panen dalam mengawasi pemanen bekerja. mandor panen memilki hubungan dengan motivasi kerja pemanen. Hal senada juga disebutkan dalam hasil penelitian </w:t>
      </w:r>
      <w:r w:rsidRPr="00C30788">
        <w:rPr>
          <w:sz w:val="22"/>
          <w:szCs w:val="22"/>
        </w:rPr>
        <w:fldChar w:fldCharType="begin" w:fldLock="1"/>
      </w:r>
      <w:r w:rsidRPr="00C30788">
        <w:rPr>
          <w:sz w:val="22"/>
          <w:szCs w:val="22"/>
        </w:rPr>
        <w:instrText>ADDIN CSL_CITATION { "citationItems" : [ { "id" : "ITEM-1", "itemData" : { "abstract" : "High employee performance will have an impact on company performance. Employee performance is not a coincidence, but many factors influence among the supervision and motivation. This study aims to identify and analyze the implementation of the supervision of the oil palm plantation company leader in the processing factory of PT. Adei Plantation and Industry Pinggir- Bengkalis, to identify and analyze the motivation of employees of oil palm plantation companies in the processing factory of PT. Adei Plantation and Industry Pinggir - Bengkalis, to determine and analyze the performance of the company's employees in the oil palm processing factory of PT. Adei Plantation and Industry Pinggir - Bengkalis, to determine and analyze the effect on performance monitoring and motivation of employees in the processing factory of PT. Adei Plantation and Industry Pinggir - Bengkalis. This research is descriptive quantitative statistical calculations. The statistical analysis used in this research is multiple linear regression. The population in this study are employees of the processing plant as many as 78 people. The sample used in this study are taken entirely from the overall number of population. The results showed that the supervision of the leadership at the processing factory of PT. Adei Plantation and Industry Pinggir-Bengkalis in the category \"very good\". Motivation of employees of the company at the processing factory of PT. Adei Plantation and Industry Pinggir - Bengkalis in the category \"very good\". Performance company employees on employee processing plant in PT. Adei Plantation and Industry Pinggir - Bengkalis overall performance of employees in the category \"High\". Supervision and motivation have a significant effect on the performance of the company's employees in the oil palm processing factory of PT. Adei Plantation and Industry Pinggir - Bengkalis.", "author" : [ { "dropping-particle" : "", "family" : "Mubin", "given" : "Al", "non-dropping-particle" : "", "parse-names" : false, "suffix" : "" }, { "dropping-particle" : "", "family" : "Ferida", "given" : "Lena", "non-dropping-particle" : "", "parse-names" : false, "suffix" : "" } ], "container-title" : "Jurnal Online Mahasiswa FISIP UR", "id" : "ITEM-1", "issue" : "1", "issued" : { "date-parts" : [ [ "2016" ] ] }, "page" : "1-15", "title" : "Pengaruh Pengawasan dan Motivasi Terhadap Kinerja Karyawan Perusahaan Perkebunan Kelapa Sawit (Kasus Bagian Pengolahan Pabrik Pada PT. Adei Plantation and Industry Pinggir - Bengkalis )", "type" : "article-journal", "volume" : "3" }, "uris" : [ "http://www.mendeley.com/documents/?uuid=81a4a8f3-5cb9-4a32-9be1-e540144a59cb" ] } ], "mendeley" : { "formattedCitation" : "(Mubin &amp; Ferida, 2016)", "manualFormatting" : "Mubin &amp; Ferida (2016)", "plainTextFormattedCitation" : "(Mubin &amp; Ferida, 2016)", "previouslyFormattedCitation" : "(Mubin &amp; Ferida, 2016)" }, "properties" : {  }, "schema" : "https://github.com/citation-style-language/schema/raw/master/csl-citation.json" }</w:instrText>
      </w:r>
      <w:r w:rsidRPr="00C30788">
        <w:rPr>
          <w:sz w:val="22"/>
          <w:szCs w:val="22"/>
        </w:rPr>
        <w:fldChar w:fldCharType="separate"/>
      </w:r>
      <w:r w:rsidRPr="00C30788">
        <w:rPr>
          <w:sz w:val="22"/>
          <w:szCs w:val="22"/>
        </w:rPr>
        <w:t>Mubin &amp; Ferida (2016)</w:t>
      </w:r>
      <w:r w:rsidRPr="00C30788">
        <w:rPr>
          <w:sz w:val="22"/>
          <w:szCs w:val="22"/>
        </w:rPr>
        <w:fldChar w:fldCharType="end"/>
      </w:r>
      <w:r w:rsidRPr="00C30788">
        <w:rPr>
          <w:sz w:val="22"/>
          <w:szCs w:val="22"/>
        </w:rPr>
        <w:t>, yang menyatakan bahwa kinerja karyawan pada bagian pengolahan pabrik perkebunan kelapa sawit dipengaruh</w:t>
      </w:r>
      <w:r>
        <w:rPr>
          <w:sz w:val="22"/>
          <w:szCs w:val="22"/>
        </w:rPr>
        <w:t xml:space="preserve"> </w:t>
      </w:r>
      <w:r w:rsidRPr="00C30788">
        <w:rPr>
          <w:sz w:val="22"/>
          <w:szCs w:val="22"/>
        </w:rPr>
        <w:t>oleh pengawasan dan motivasi. Berdasarkan hasil tersebut menunjukkan bahwa kebijakan pengurangan mandor yang dilakukan oleh pengurus kebun Bangun Bandar sudah tepat dalam mengefisienkan dan mengefektif</w:t>
      </w:r>
      <w:r>
        <w:rPr>
          <w:sz w:val="22"/>
          <w:szCs w:val="22"/>
        </w:rPr>
        <w:t>kan kegiatan produksi</w:t>
      </w:r>
      <w:r w:rsidRPr="00C30788">
        <w:rPr>
          <w:sz w:val="22"/>
          <w:szCs w:val="22"/>
        </w:rPr>
        <w:t>.</w:t>
      </w:r>
    </w:p>
    <w:p w:rsidR="00A57899" w:rsidRDefault="00A57899" w:rsidP="00A57899">
      <w:pPr>
        <w:jc w:val="center"/>
        <w:outlineLvl w:val="0"/>
        <w:rPr>
          <w:b/>
          <w:sz w:val="22"/>
          <w:szCs w:val="22"/>
        </w:rPr>
      </w:pPr>
    </w:p>
    <w:p w:rsidR="00A57899" w:rsidRDefault="00A57899" w:rsidP="00A57899">
      <w:pPr>
        <w:jc w:val="center"/>
        <w:outlineLvl w:val="0"/>
        <w:rPr>
          <w:b/>
          <w:sz w:val="22"/>
          <w:szCs w:val="22"/>
        </w:rPr>
      </w:pPr>
    </w:p>
    <w:p w:rsidR="00A57899" w:rsidRDefault="00A57899" w:rsidP="00A57899">
      <w:pPr>
        <w:jc w:val="center"/>
        <w:outlineLvl w:val="0"/>
        <w:rPr>
          <w:b/>
          <w:sz w:val="22"/>
          <w:szCs w:val="22"/>
        </w:rPr>
      </w:pPr>
      <w:r w:rsidRPr="00C30788">
        <w:rPr>
          <w:b/>
          <w:sz w:val="22"/>
          <w:szCs w:val="22"/>
        </w:rPr>
        <w:t>KESIMPULAN DAN SARAN</w:t>
      </w:r>
    </w:p>
    <w:p w:rsidR="00A57899" w:rsidRPr="00C30788" w:rsidRDefault="00A57899" w:rsidP="00A57899">
      <w:pPr>
        <w:jc w:val="center"/>
        <w:outlineLvl w:val="0"/>
        <w:rPr>
          <w:b/>
          <w:sz w:val="22"/>
          <w:szCs w:val="22"/>
        </w:rPr>
      </w:pPr>
    </w:p>
    <w:p w:rsidR="00A57899" w:rsidRPr="00C30788" w:rsidRDefault="00A57899" w:rsidP="00A57899">
      <w:pPr>
        <w:jc w:val="both"/>
        <w:outlineLvl w:val="0"/>
        <w:rPr>
          <w:b/>
          <w:sz w:val="22"/>
          <w:szCs w:val="22"/>
        </w:rPr>
      </w:pPr>
      <w:r w:rsidRPr="00C30788">
        <w:rPr>
          <w:b/>
          <w:sz w:val="22"/>
          <w:szCs w:val="22"/>
        </w:rPr>
        <w:t>Kesimpulan</w:t>
      </w:r>
    </w:p>
    <w:p w:rsidR="00A57899" w:rsidRPr="00107824" w:rsidRDefault="00A57899" w:rsidP="00A57899">
      <w:pPr>
        <w:jc w:val="both"/>
        <w:rPr>
          <w:sz w:val="22"/>
          <w:szCs w:val="22"/>
        </w:rPr>
      </w:pPr>
      <w:r>
        <w:rPr>
          <w:sz w:val="22"/>
          <w:szCs w:val="22"/>
        </w:rPr>
        <w:t>Berdasarkan hasil penelitian dapat diambil kesimpulan sebagai berikut:</w:t>
      </w:r>
    </w:p>
    <w:p w:rsidR="00A57899" w:rsidRDefault="00A57899" w:rsidP="0058266C">
      <w:pPr>
        <w:pStyle w:val="ListParagraph"/>
        <w:numPr>
          <w:ilvl w:val="0"/>
          <w:numId w:val="11"/>
        </w:numPr>
        <w:ind w:left="284" w:hanging="284"/>
        <w:jc w:val="both"/>
        <w:rPr>
          <w:sz w:val="22"/>
          <w:szCs w:val="22"/>
        </w:rPr>
      </w:pPr>
      <w:r>
        <w:rPr>
          <w:sz w:val="22"/>
          <w:szCs w:val="22"/>
        </w:rPr>
        <w:t>Faktor produksi luas areal, umur tanaman, tenaga kerja, dan pupuk secara serempak maupun parsial berpengaruh terhadap produksi TBS di kebun Bangun Bandar. Faktor tenaga kerja merupakan faktor yang paling besar berpengaruh terhadap produksi TBS jika dibandingkan dengan faktor lainnya.</w:t>
      </w:r>
    </w:p>
    <w:p w:rsidR="00A57899" w:rsidRPr="00C30788" w:rsidRDefault="00A57899" w:rsidP="0058266C">
      <w:pPr>
        <w:pStyle w:val="ListParagraph"/>
        <w:numPr>
          <w:ilvl w:val="0"/>
          <w:numId w:val="11"/>
        </w:numPr>
        <w:ind w:left="284" w:hanging="284"/>
        <w:jc w:val="both"/>
        <w:rPr>
          <w:sz w:val="22"/>
          <w:szCs w:val="22"/>
          <w:lang w:val="en-US"/>
        </w:rPr>
      </w:pPr>
      <w:r w:rsidRPr="00C30788">
        <w:rPr>
          <w:sz w:val="22"/>
          <w:szCs w:val="22"/>
        </w:rPr>
        <w:t>Tenaga kerja merupakan ujung tombak perusahaan dalam mencapai target perusahaan dan merupakan faktor penting dalam produksi kebun Bangun Bandar. Kebijakan pengurangan mandor panen tidak memberikan perbedaan yang signifikan terhadap produksi dan losses buah mentah di kebun Bangun Bandar. Hal ini menunjukkan kebijakan pengurangan mandor yang dilakukan oleh pengurus kebun Bangun Bandar sudah tepat dalam</w:t>
      </w:r>
      <w:r>
        <w:rPr>
          <w:sz w:val="22"/>
          <w:szCs w:val="22"/>
        </w:rPr>
        <w:t xml:space="preserve"> </w:t>
      </w:r>
      <w:r w:rsidRPr="00C30788">
        <w:rPr>
          <w:sz w:val="22"/>
          <w:szCs w:val="22"/>
        </w:rPr>
        <w:t xml:space="preserve"> mengefisienkan dan mengefektifkan kerja pengawas/ mandor panen.</w:t>
      </w:r>
    </w:p>
    <w:p w:rsidR="00A57899" w:rsidRDefault="00A57899" w:rsidP="00A57899">
      <w:pPr>
        <w:jc w:val="both"/>
        <w:rPr>
          <w:b/>
          <w:sz w:val="22"/>
          <w:szCs w:val="22"/>
        </w:rPr>
      </w:pPr>
    </w:p>
    <w:p w:rsidR="00A57899" w:rsidRPr="00C30788" w:rsidRDefault="00A57899" w:rsidP="00A57899">
      <w:pPr>
        <w:jc w:val="both"/>
        <w:rPr>
          <w:b/>
          <w:sz w:val="22"/>
          <w:szCs w:val="22"/>
        </w:rPr>
      </w:pPr>
      <w:r w:rsidRPr="00C30788">
        <w:rPr>
          <w:b/>
          <w:sz w:val="22"/>
          <w:szCs w:val="22"/>
        </w:rPr>
        <w:t>Saran</w:t>
      </w:r>
    </w:p>
    <w:p w:rsidR="00A57899" w:rsidRDefault="00A57899" w:rsidP="00A57899">
      <w:pPr>
        <w:ind w:firstLine="482"/>
        <w:jc w:val="both"/>
        <w:rPr>
          <w:sz w:val="22"/>
          <w:szCs w:val="22"/>
        </w:rPr>
      </w:pPr>
      <w:r w:rsidRPr="00C30788">
        <w:rPr>
          <w:sz w:val="22"/>
          <w:szCs w:val="22"/>
        </w:rPr>
        <w:t xml:space="preserve">Kebun Bangun Bandar perlu meningkatkan jumlah tenaga kerja panen atau meningkatkan produktivitas tenaga kerja panen agar produksi pada saat panen puncak dapat tercapai, dimana produktivitas tenaga kerja panen masih dibawah basis janjang tertinggi yaitu 220 (tahun tanam 2014). Selain itu, perusahaan perlu meningkatkan denda/pinalti bagi tenaga kerja yang memanen buah mentah agar tenaga kerja lebih berhati-hati dalam bekerja dan menekan </w:t>
      </w:r>
      <w:r w:rsidRPr="00C30788">
        <w:rPr>
          <w:i/>
          <w:sz w:val="22"/>
          <w:szCs w:val="22"/>
        </w:rPr>
        <w:t>losses</w:t>
      </w:r>
      <w:r w:rsidRPr="00C30788">
        <w:rPr>
          <w:sz w:val="22"/>
          <w:szCs w:val="22"/>
        </w:rPr>
        <w:t xml:space="preserve"> buah mentah yang terpanen.</w:t>
      </w:r>
    </w:p>
    <w:p w:rsidR="00A57899" w:rsidRDefault="00A57899" w:rsidP="00A57899">
      <w:pPr>
        <w:ind w:firstLine="482"/>
        <w:jc w:val="both"/>
        <w:rPr>
          <w:sz w:val="22"/>
          <w:szCs w:val="22"/>
        </w:rPr>
      </w:pPr>
    </w:p>
    <w:p w:rsidR="00A57899" w:rsidRPr="00261474" w:rsidRDefault="00A57899" w:rsidP="00A57899">
      <w:pPr>
        <w:ind w:firstLine="482"/>
        <w:jc w:val="both"/>
        <w:rPr>
          <w:sz w:val="22"/>
          <w:szCs w:val="22"/>
        </w:rPr>
      </w:pPr>
      <w:r w:rsidRPr="00C30788">
        <w:rPr>
          <w:sz w:val="22"/>
          <w:szCs w:val="22"/>
        </w:rPr>
        <w:lastRenderedPageBreak/>
        <w:t xml:space="preserve"> </w:t>
      </w:r>
    </w:p>
    <w:p w:rsidR="00A57899" w:rsidRDefault="00A57899" w:rsidP="00A57899">
      <w:pPr>
        <w:widowControl w:val="0"/>
        <w:autoSpaceDE w:val="0"/>
        <w:autoSpaceDN w:val="0"/>
        <w:adjustRightInd w:val="0"/>
        <w:ind w:left="480" w:hanging="480"/>
        <w:jc w:val="center"/>
        <w:rPr>
          <w:b/>
          <w:sz w:val="22"/>
          <w:szCs w:val="22"/>
        </w:rPr>
      </w:pPr>
      <w:r w:rsidRPr="00C30788">
        <w:rPr>
          <w:b/>
          <w:sz w:val="22"/>
          <w:szCs w:val="22"/>
        </w:rPr>
        <w:t>DAFTAR PUSTAKA</w:t>
      </w:r>
    </w:p>
    <w:p w:rsidR="00A57899" w:rsidRDefault="00A57899" w:rsidP="00A57899">
      <w:pPr>
        <w:widowControl w:val="0"/>
        <w:autoSpaceDE w:val="0"/>
        <w:autoSpaceDN w:val="0"/>
        <w:adjustRightInd w:val="0"/>
        <w:ind w:left="480" w:hanging="480"/>
        <w:jc w:val="center"/>
        <w:rPr>
          <w:b/>
          <w:sz w:val="22"/>
          <w:szCs w:val="22"/>
        </w:rPr>
      </w:pPr>
    </w:p>
    <w:p w:rsidR="00A57899" w:rsidRPr="000B6355" w:rsidRDefault="00A57899" w:rsidP="005A0D45">
      <w:pPr>
        <w:widowControl w:val="0"/>
        <w:autoSpaceDE w:val="0"/>
        <w:autoSpaceDN w:val="0"/>
        <w:adjustRightInd w:val="0"/>
        <w:spacing w:after="60"/>
        <w:ind w:left="851" w:hanging="851"/>
        <w:jc w:val="both"/>
        <w:rPr>
          <w:sz w:val="22"/>
        </w:rPr>
      </w:pPr>
      <w:r>
        <w:rPr>
          <w:b/>
          <w:sz w:val="22"/>
          <w:szCs w:val="22"/>
        </w:rPr>
        <w:fldChar w:fldCharType="begin" w:fldLock="1"/>
      </w:r>
      <w:r>
        <w:rPr>
          <w:b/>
          <w:sz w:val="22"/>
          <w:szCs w:val="22"/>
        </w:rPr>
        <w:instrText xml:space="preserve">ADDIN Mendeley Bibliography CSL_BIBLIOGRAPHY </w:instrText>
      </w:r>
      <w:r>
        <w:rPr>
          <w:b/>
          <w:sz w:val="22"/>
          <w:szCs w:val="22"/>
        </w:rPr>
        <w:fldChar w:fldCharType="separate"/>
      </w:r>
      <w:r w:rsidRPr="000B6355">
        <w:rPr>
          <w:sz w:val="22"/>
        </w:rPr>
        <w:t xml:space="preserve">Alfayanti, &amp; Efendi, Z. (2013). Analisis Faktor-Faktor Yang Mempengaruhi Produksi Kelapa Sawit Rakyat Di Kabupaten Mukomuko. </w:t>
      </w:r>
      <w:r w:rsidRPr="000B6355">
        <w:rPr>
          <w:i/>
          <w:iCs/>
          <w:sz w:val="22"/>
        </w:rPr>
        <w:t>Jurnal Agrisep Universitas Bengkulu</w:t>
      </w:r>
      <w:r w:rsidRPr="000B6355">
        <w:rPr>
          <w:sz w:val="22"/>
        </w:rPr>
        <w:t xml:space="preserve">, </w:t>
      </w:r>
      <w:r w:rsidRPr="000B6355">
        <w:rPr>
          <w:i/>
          <w:iCs/>
          <w:sz w:val="22"/>
        </w:rPr>
        <w:t>13</w:t>
      </w:r>
      <w:r w:rsidRPr="000B6355">
        <w:rPr>
          <w:sz w:val="22"/>
        </w:rPr>
        <w:t>(1), 1–10.</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Alimah, F. C., Sayekti, W. D., &amp; Soelaiman, A. (2016). The Relation of Harvest Foreman Leadership Style and Work Motivation of Harvesters on Performance of Harvesters at PT Perkebunan Nusantara VII Part of Palm Oil Plantation atRejosari Natar of South Lampung. </w:t>
      </w:r>
      <w:r w:rsidRPr="000B6355">
        <w:rPr>
          <w:i/>
          <w:iCs/>
          <w:sz w:val="22"/>
        </w:rPr>
        <w:t>Jurnal Ilmu Ilmu Agribisnis</w:t>
      </w:r>
      <w:r w:rsidRPr="000B6355">
        <w:rPr>
          <w:sz w:val="22"/>
        </w:rPr>
        <w:t xml:space="preserve">, </w:t>
      </w:r>
      <w:r w:rsidRPr="000B6355">
        <w:rPr>
          <w:i/>
          <w:iCs/>
          <w:sz w:val="22"/>
        </w:rPr>
        <w:t>4</w:t>
      </w:r>
      <w:r w:rsidRPr="000B6355">
        <w:rPr>
          <w:sz w:val="22"/>
        </w:rPr>
        <w:t>(3), 294–300.</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Andaya, O., Hadi, S., &amp; Yusri, J. (2017). Analysis The Risk Palm Oil Fresh Fruit Bunches (FFB) Post Harvest of The Core Estate Smallholders (CES) in Pagaruyung Village of Tapung Subdistrict Kampar Regency. </w:t>
      </w:r>
      <w:r w:rsidRPr="000B6355">
        <w:rPr>
          <w:i/>
          <w:iCs/>
          <w:sz w:val="22"/>
        </w:rPr>
        <w:t>Jurnal Online Mahasiswa Faperta UR</w:t>
      </w:r>
      <w:r w:rsidRPr="000B6355">
        <w:rPr>
          <w:sz w:val="22"/>
        </w:rPr>
        <w:t xml:space="preserve">, </w:t>
      </w:r>
      <w:r w:rsidRPr="000B6355">
        <w:rPr>
          <w:i/>
          <w:iCs/>
          <w:sz w:val="22"/>
        </w:rPr>
        <w:t>4</w:t>
      </w:r>
      <w:r w:rsidRPr="000B6355">
        <w:rPr>
          <w:sz w:val="22"/>
        </w:rPr>
        <w:t>(1), 1–11.</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Anwar, R., Sitorus, S. R. P., Fauzi, A. M., Widiatmaka, &amp; Machfud. (2014). Technical Culture and Productivity of Oil Palm in Several Plantations in East Kalimantan. </w:t>
      </w:r>
      <w:r w:rsidRPr="000B6355">
        <w:rPr>
          <w:i/>
          <w:iCs/>
          <w:sz w:val="22"/>
        </w:rPr>
        <w:t>International Journal of Latest Research in Science and Technology</w:t>
      </w:r>
      <w:r w:rsidRPr="000B6355">
        <w:rPr>
          <w:sz w:val="22"/>
        </w:rPr>
        <w:t xml:space="preserve">, </w:t>
      </w:r>
      <w:r w:rsidRPr="000B6355">
        <w:rPr>
          <w:i/>
          <w:iCs/>
          <w:sz w:val="22"/>
        </w:rPr>
        <w:t>3</w:t>
      </w:r>
      <w:r w:rsidRPr="000B6355">
        <w:rPr>
          <w:sz w:val="22"/>
        </w:rPr>
        <w:t>(2), 19–24.</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Ardana, I. K., &amp; Kariyasa, K. (2016). Influence of Technological Innovation and Use of Production Input on Productivity of Oil Palm in West Kalimantan Province. </w:t>
      </w:r>
      <w:r w:rsidRPr="000B6355">
        <w:rPr>
          <w:i/>
          <w:iCs/>
          <w:sz w:val="22"/>
        </w:rPr>
        <w:t>Jurnal Penelitian Tanaman Industri</w:t>
      </w:r>
      <w:r w:rsidRPr="000B6355">
        <w:rPr>
          <w:sz w:val="22"/>
        </w:rPr>
        <w:t xml:space="preserve">, </w:t>
      </w:r>
      <w:r w:rsidRPr="000B6355">
        <w:rPr>
          <w:i/>
          <w:iCs/>
          <w:sz w:val="22"/>
        </w:rPr>
        <w:t>22</w:t>
      </w:r>
      <w:r w:rsidRPr="000B6355">
        <w:rPr>
          <w:sz w:val="22"/>
        </w:rPr>
        <w:t>(3), 125–134.</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Ditjenbun. (2016). </w:t>
      </w:r>
      <w:r w:rsidRPr="000B6355">
        <w:rPr>
          <w:i/>
          <w:iCs/>
          <w:sz w:val="22"/>
        </w:rPr>
        <w:t>Outlook Kelapa Sawit</w:t>
      </w:r>
      <w:r w:rsidRPr="000B6355">
        <w:rPr>
          <w:sz w:val="22"/>
        </w:rPr>
        <w:t>. Kementerian Pertanian.</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Hafif, B., Ernawati, R., &amp; Pujiarti, Y. (2014). Peluang Peningkatan produktivitas kelapa sawit rakyat di Provinsi Lampung. </w:t>
      </w:r>
      <w:r w:rsidRPr="000B6355">
        <w:rPr>
          <w:i/>
          <w:iCs/>
          <w:sz w:val="22"/>
        </w:rPr>
        <w:t>Jurnal Penelitian Tanaman Industri</w:t>
      </w:r>
      <w:r w:rsidRPr="000B6355">
        <w:rPr>
          <w:sz w:val="22"/>
        </w:rPr>
        <w:t xml:space="preserve">, </w:t>
      </w:r>
      <w:r w:rsidRPr="000B6355">
        <w:rPr>
          <w:i/>
          <w:iCs/>
          <w:sz w:val="22"/>
        </w:rPr>
        <w:t>20</w:t>
      </w:r>
      <w:r w:rsidRPr="000B6355">
        <w:rPr>
          <w:sz w:val="22"/>
        </w:rPr>
        <w:t>(2), 100–108.</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Hamini, Nigrahini, T., &amp; Purwati. (2012). Penunasan Influence and Administration of NPK Fertilizer Production Plant Phonska Against Palm Oil (Elaeis guineensis jacq). </w:t>
      </w:r>
      <w:r w:rsidRPr="000B6355">
        <w:rPr>
          <w:i/>
          <w:iCs/>
          <w:sz w:val="22"/>
        </w:rPr>
        <w:t>Jurnal Ilmu Pertanian</w:t>
      </w:r>
      <w:r w:rsidRPr="000B6355">
        <w:rPr>
          <w:sz w:val="22"/>
        </w:rPr>
        <w:t xml:space="preserve">, </w:t>
      </w:r>
      <w:r w:rsidRPr="000B6355">
        <w:rPr>
          <w:i/>
          <w:iCs/>
          <w:sz w:val="22"/>
        </w:rPr>
        <w:t>1</w:t>
      </w:r>
      <w:r w:rsidRPr="000B6355">
        <w:rPr>
          <w:sz w:val="22"/>
        </w:rPr>
        <w:t>(2), 49–54.</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Ismiasih. (2017). Technical Efficiency of Palm Oil Production in West Kalimantan. </w:t>
      </w:r>
      <w:r w:rsidRPr="000B6355">
        <w:rPr>
          <w:i/>
          <w:iCs/>
          <w:sz w:val="22"/>
        </w:rPr>
        <w:t>Jurnal Habitat</w:t>
      </w:r>
      <w:r w:rsidRPr="000B6355">
        <w:rPr>
          <w:sz w:val="22"/>
        </w:rPr>
        <w:t xml:space="preserve">, </w:t>
      </w:r>
      <w:r w:rsidRPr="000B6355">
        <w:rPr>
          <w:i/>
          <w:iCs/>
          <w:sz w:val="22"/>
        </w:rPr>
        <w:t>28</w:t>
      </w:r>
      <w:r w:rsidRPr="000B6355">
        <w:rPr>
          <w:sz w:val="22"/>
        </w:rPr>
        <w:t xml:space="preserve">(3), 91–98. </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Matana, Y. R., &amp; Mashud, N. (2016). Response Growth and Yield of Eight Varieties Oilpalm TM to N , P , K , Mg , and B Fertilizer. </w:t>
      </w:r>
      <w:r w:rsidRPr="000B6355">
        <w:rPr>
          <w:i/>
          <w:iCs/>
          <w:sz w:val="22"/>
        </w:rPr>
        <w:t>Buletin Palma</w:t>
      </w:r>
      <w:r w:rsidRPr="000B6355">
        <w:rPr>
          <w:sz w:val="22"/>
        </w:rPr>
        <w:t xml:space="preserve">, </w:t>
      </w:r>
      <w:r w:rsidRPr="000B6355">
        <w:rPr>
          <w:i/>
          <w:iCs/>
          <w:sz w:val="22"/>
        </w:rPr>
        <w:t>17</w:t>
      </w:r>
      <w:r w:rsidRPr="000B6355">
        <w:rPr>
          <w:sz w:val="22"/>
        </w:rPr>
        <w:t>(2), 105–113.</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Mubin, A., &amp; Ferida, L. (2016). Pengaruh Pengawasan dan Motivasi Terhadap Kinerja Karyawan Perusahaan Perkebunan Kelapa Sawit (Kasus Bagian Pengolahan Pabrik Pada PT. Adei Plantation and Industry Pinggir - Bengkalis ). </w:t>
      </w:r>
      <w:r w:rsidRPr="000B6355">
        <w:rPr>
          <w:i/>
          <w:iCs/>
          <w:sz w:val="22"/>
        </w:rPr>
        <w:t>Jurnal Online Mahasiswa FISIP UR</w:t>
      </w:r>
      <w:r w:rsidRPr="000B6355">
        <w:rPr>
          <w:sz w:val="22"/>
        </w:rPr>
        <w:t xml:space="preserve">, </w:t>
      </w:r>
      <w:r w:rsidRPr="000B6355">
        <w:rPr>
          <w:i/>
          <w:iCs/>
          <w:sz w:val="22"/>
        </w:rPr>
        <w:t>3</w:t>
      </w:r>
      <w:r w:rsidRPr="000B6355">
        <w:rPr>
          <w:sz w:val="22"/>
        </w:rPr>
        <w:t>(1), 1–15.</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Nuryartono, N., Pasaribu, S. H., Nadhilah, P., &amp; Panggabean, K. (2016). Total Factor Productivity Analysis of Oil Palm Production in Indonesia. </w:t>
      </w:r>
      <w:r w:rsidRPr="000B6355">
        <w:rPr>
          <w:i/>
          <w:iCs/>
          <w:sz w:val="22"/>
        </w:rPr>
        <w:t>International Journal of Economic and Financial Issues</w:t>
      </w:r>
      <w:r w:rsidRPr="000B6355">
        <w:rPr>
          <w:sz w:val="22"/>
        </w:rPr>
        <w:t xml:space="preserve">, </w:t>
      </w:r>
      <w:r w:rsidRPr="000B6355">
        <w:rPr>
          <w:i/>
          <w:iCs/>
          <w:sz w:val="22"/>
        </w:rPr>
        <w:t>6</w:t>
      </w:r>
      <w:r w:rsidRPr="000B6355">
        <w:rPr>
          <w:sz w:val="22"/>
        </w:rPr>
        <w:t>(4), 1570–1577.</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Purnomo, H., Okarda, B., Ayu, A., Ali, M., Achdiawan, R., Kartodihardjo, H., … Juniwaty, K. S. (2018). Reducing Forest and Land Fires Through Good Palm Oil Value Chain. </w:t>
      </w:r>
      <w:r w:rsidRPr="000B6355">
        <w:rPr>
          <w:i/>
          <w:iCs/>
          <w:sz w:val="22"/>
        </w:rPr>
        <w:t>Forest Policy and Economic Journal</w:t>
      </w:r>
      <w:r w:rsidRPr="000B6355">
        <w:rPr>
          <w:sz w:val="22"/>
        </w:rPr>
        <w:t xml:space="preserve">, </w:t>
      </w:r>
      <w:r w:rsidRPr="000B6355">
        <w:rPr>
          <w:i/>
          <w:iCs/>
          <w:sz w:val="22"/>
        </w:rPr>
        <w:t>91</w:t>
      </w:r>
      <w:r w:rsidRPr="000B6355">
        <w:rPr>
          <w:sz w:val="22"/>
        </w:rPr>
        <w:t xml:space="preserve">, 94–106. </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Saragih, B. (2016). Produktivitas Sumber Pertumbuhan Minyak Sawit yang Berkelanjutan.</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Septianita. (2009). Faktor-Faktor yang Mempengaruhi Produksi Kelapa Sawit ( Elaeis quinensis Jack) dan Kontribusinya Terhadap Pendapatan Keluarga di Desa Makartitama Kec. Peninjauan Kab. OKU. </w:t>
      </w:r>
      <w:r w:rsidRPr="000B6355">
        <w:rPr>
          <w:i/>
          <w:iCs/>
          <w:sz w:val="22"/>
        </w:rPr>
        <w:t>Agronobis</w:t>
      </w:r>
      <w:r w:rsidRPr="000B6355">
        <w:rPr>
          <w:sz w:val="22"/>
        </w:rPr>
        <w:t xml:space="preserve">, </w:t>
      </w:r>
      <w:r w:rsidRPr="000B6355">
        <w:rPr>
          <w:i/>
          <w:iCs/>
          <w:sz w:val="22"/>
        </w:rPr>
        <w:t>1</w:t>
      </w:r>
      <w:r w:rsidRPr="000B6355">
        <w:rPr>
          <w:sz w:val="22"/>
        </w:rPr>
        <w:t>(2), 78–85.</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Widarjono, A. (2017). </w:t>
      </w:r>
      <w:r w:rsidRPr="000B6355">
        <w:rPr>
          <w:i/>
          <w:iCs/>
          <w:sz w:val="22"/>
        </w:rPr>
        <w:t>Ekonometrika - Pengantar dan Aplikasinya Disertai Panduan EViews</w:t>
      </w:r>
      <w:r w:rsidRPr="000B6355">
        <w:rPr>
          <w:sz w:val="22"/>
        </w:rPr>
        <w:t xml:space="preserve"> </w:t>
      </w:r>
      <w:r w:rsidRPr="000B6355">
        <w:rPr>
          <w:sz w:val="22"/>
        </w:rPr>
        <w:lastRenderedPageBreak/>
        <w:t>(4th ed.). Yogyakarta: UPP STIM YKPN.</w:t>
      </w:r>
    </w:p>
    <w:p w:rsidR="00A57899" w:rsidRPr="000B6355" w:rsidRDefault="00A57899" w:rsidP="005A0D45">
      <w:pPr>
        <w:widowControl w:val="0"/>
        <w:autoSpaceDE w:val="0"/>
        <w:autoSpaceDN w:val="0"/>
        <w:adjustRightInd w:val="0"/>
        <w:spacing w:after="60"/>
        <w:ind w:left="851" w:hanging="851"/>
        <w:jc w:val="both"/>
        <w:rPr>
          <w:sz w:val="22"/>
        </w:rPr>
      </w:pPr>
      <w:r w:rsidRPr="000B6355">
        <w:rPr>
          <w:sz w:val="22"/>
        </w:rPr>
        <w:t xml:space="preserve">Woittiez, L. S., Wijk, M. T. Van, Slingerland, M., Noordwijk, M. Van, &amp; Giller, K. E. (2017). Yield gaps in oil palm : A quantitative review of contributing factors. </w:t>
      </w:r>
      <w:r w:rsidRPr="000B6355">
        <w:rPr>
          <w:i/>
          <w:iCs/>
          <w:sz w:val="22"/>
        </w:rPr>
        <w:t>European Journal of Agronomy</w:t>
      </w:r>
      <w:r w:rsidRPr="000B6355">
        <w:rPr>
          <w:sz w:val="22"/>
        </w:rPr>
        <w:t xml:space="preserve">, </w:t>
      </w:r>
      <w:r w:rsidRPr="000B6355">
        <w:rPr>
          <w:i/>
          <w:iCs/>
          <w:sz w:val="22"/>
        </w:rPr>
        <w:t>83</w:t>
      </w:r>
      <w:r w:rsidRPr="000B6355">
        <w:rPr>
          <w:sz w:val="22"/>
        </w:rPr>
        <w:t xml:space="preserve">, 57–77. </w:t>
      </w:r>
    </w:p>
    <w:p w:rsidR="00262912" w:rsidRPr="00A57899" w:rsidRDefault="00A57899" w:rsidP="00A57899">
      <w:pPr>
        <w:widowControl w:val="0"/>
        <w:autoSpaceDE w:val="0"/>
        <w:autoSpaceDN w:val="0"/>
        <w:adjustRightInd w:val="0"/>
        <w:jc w:val="both"/>
        <w:rPr>
          <w:b/>
          <w:sz w:val="22"/>
          <w:szCs w:val="22"/>
        </w:rPr>
      </w:pPr>
      <w:r>
        <w:rPr>
          <w:b/>
          <w:sz w:val="22"/>
          <w:szCs w:val="22"/>
        </w:rPr>
        <w:fldChar w:fldCharType="end"/>
      </w:r>
    </w:p>
    <w:sectPr w:rsidR="00262912" w:rsidRPr="00A57899" w:rsidSect="00EC23E5">
      <w:headerReference w:type="even" r:id="rId9"/>
      <w:headerReference w:type="default" r:id="rId10"/>
      <w:footerReference w:type="even" r:id="rId11"/>
      <w:footerReference w:type="default" r:id="rId12"/>
      <w:headerReference w:type="first" r:id="rId13"/>
      <w:footerReference w:type="first" r:id="rId14"/>
      <w:pgSz w:w="11907" w:h="16840" w:code="9"/>
      <w:pgMar w:top="2250" w:right="1287" w:bottom="2340" w:left="2250" w:header="1418" w:footer="992" w:gutter="0"/>
      <w:pgNumType w:start="60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6E9" w:rsidRDefault="00C726E9">
      <w:r>
        <w:separator/>
      </w:r>
    </w:p>
  </w:endnote>
  <w:endnote w:type="continuationSeparator" w:id="0">
    <w:p w:rsidR="00C726E9" w:rsidRDefault="00C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rebuchetMS">
    <w:altName w:val="Times New Roman"/>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ans-serif">
    <w:altName w:val="Calibri"/>
    <w:panose1 w:val="020B0604020202020204"/>
    <w:charset w:val="00"/>
    <w:family w:val="auto"/>
    <w:pitch w:val="variable"/>
    <w:sig w:usb0="00000001"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4A" w:rsidRDefault="00564A4A" w:rsidP="00017B05">
    <w:pPr>
      <w:pStyle w:val="Footer"/>
      <w:ind w:right="360"/>
    </w:pPr>
    <w:r>
      <w:rPr>
        <w:sz w:val="20"/>
        <w:szCs w:val="20"/>
      </w:rPr>
      <w:t>JEPA, ISSN: 2614-4670 (p), ISSN: 2598-8174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4A" w:rsidRDefault="00564A4A" w:rsidP="00762D35">
    <w:pPr>
      <w:pStyle w:val="Footer"/>
      <w:tabs>
        <w:tab w:val="clear" w:pos="8640"/>
      </w:tabs>
      <w:jc w:val="right"/>
    </w:pPr>
    <w:r>
      <w:rPr>
        <w:sz w:val="20"/>
        <w:szCs w:val="20"/>
      </w:rPr>
      <w:t>JEPA, ISSN: 2614-4670 (p), ISSN: 2598-8174 (e)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9C" w:rsidRPr="00FA6F9C" w:rsidRDefault="00564A4A">
    <w:pPr>
      <w:pStyle w:val="Footer"/>
      <w:rPr>
        <w:sz w:val="20"/>
        <w:lang w:val="en-US"/>
      </w:rPr>
    </w:pPr>
    <w:r>
      <w:rPr>
        <w:sz w:val="20"/>
      </w:rPr>
      <w:t>https://doi.org/10.21776/ub.jepa.2019.003.0</w:t>
    </w:r>
    <w:r w:rsidR="00370EBD">
      <w:rPr>
        <w:sz w:val="20"/>
        <w:lang w:val="en-US"/>
      </w:rPr>
      <w:t>3</w:t>
    </w:r>
    <w:r>
      <w:rPr>
        <w:sz w:val="20"/>
      </w:rPr>
      <w:t>.</w:t>
    </w:r>
    <w:r>
      <w:rPr>
        <w:sz w:val="20"/>
        <w:lang w:val="en-US"/>
      </w:rPr>
      <w:t>1</w:t>
    </w:r>
    <w:r w:rsidR="001500AF">
      <w:rPr>
        <w:sz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6E9" w:rsidRDefault="00C726E9">
      <w:r>
        <w:separator/>
      </w:r>
    </w:p>
  </w:footnote>
  <w:footnote w:type="continuationSeparator" w:id="0">
    <w:p w:rsidR="00C726E9" w:rsidRDefault="00C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4A" w:rsidRPr="004A1F79" w:rsidRDefault="00564A4A" w:rsidP="004A1F79">
    <w:pPr>
      <w:pStyle w:val="Header"/>
      <w:tabs>
        <w:tab w:val="clear" w:pos="8640"/>
        <w:tab w:val="right" w:pos="8370"/>
      </w:tabs>
      <w:rPr>
        <w:sz w:val="20"/>
        <w:lang w:val="en-US"/>
      </w:rPr>
    </w:pPr>
    <w:r w:rsidRPr="00922479">
      <w:rPr>
        <w:sz w:val="20"/>
      </w:rPr>
      <w:fldChar w:fldCharType="begin"/>
    </w:r>
    <w:r w:rsidRPr="00922479">
      <w:rPr>
        <w:sz w:val="20"/>
      </w:rPr>
      <w:instrText xml:space="preserve"> PAGE   \* MERGEFORMAT </w:instrText>
    </w:r>
    <w:r w:rsidRPr="00922479">
      <w:rPr>
        <w:sz w:val="20"/>
      </w:rPr>
      <w:fldChar w:fldCharType="separate"/>
    </w:r>
    <w:r>
      <w:rPr>
        <w:sz w:val="20"/>
      </w:rPr>
      <w:t>104</w:t>
    </w:r>
    <w:r w:rsidRPr="00922479">
      <w:rPr>
        <w:sz w:val="20"/>
      </w:rPr>
      <w:fldChar w:fldCharType="end"/>
    </w:r>
    <w:r>
      <w:rPr>
        <w:sz w:val="20"/>
      </w:rPr>
      <w:tab/>
    </w:r>
    <w:r>
      <w:rPr>
        <w:sz w:val="20"/>
      </w:rPr>
      <w:tab/>
    </w:r>
    <w:r>
      <w:rPr>
        <w:sz w:val="20"/>
        <w:szCs w:val="20"/>
      </w:rPr>
      <w:t xml:space="preserve">JEPA, </w:t>
    </w:r>
    <w:r>
      <w:rPr>
        <w:sz w:val="20"/>
        <w:szCs w:val="20"/>
        <w:lang w:val="id-ID"/>
      </w:rPr>
      <w:t>3</w:t>
    </w:r>
    <w:r>
      <w:rPr>
        <w:sz w:val="20"/>
        <w:szCs w:val="20"/>
      </w:rPr>
      <w:t xml:space="preserve"> (</w:t>
    </w:r>
    <w:r w:rsidR="0084120B">
      <w:rPr>
        <w:sz w:val="20"/>
        <w:szCs w:val="20"/>
        <w:lang w:val="en-US"/>
      </w:rPr>
      <w:t>3</w:t>
    </w:r>
    <w:r>
      <w:rPr>
        <w:sz w:val="20"/>
        <w:szCs w:val="20"/>
      </w:rPr>
      <w:t>)</w:t>
    </w:r>
    <w:r>
      <w:rPr>
        <w:sz w:val="20"/>
        <w:szCs w:val="20"/>
        <w:lang w:val="id-ID"/>
      </w:rPr>
      <w:t>,</w:t>
    </w:r>
    <w:r w:rsidRPr="001D59D8">
      <w:rPr>
        <w:sz w:val="20"/>
        <w:szCs w:val="20"/>
      </w:rPr>
      <w:t xml:space="preserve"> </w:t>
    </w:r>
    <w:r>
      <w:rPr>
        <w:sz w:val="20"/>
        <w:szCs w:val="20"/>
      </w:rPr>
      <w:t>20</w:t>
    </w:r>
    <w:r>
      <w:rPr>
        <w:sz w:val="20"/>
        <w:szCs w:val="20"/>
        <w:lang w:val="id-ID"/>
      </w:rPr>
      <w:t>19</w:t>
    </w:r>
    <w:r>
      <w:rPr>
        <w:sz w:val="20"/>
        <w:szCs w:val="20"/>
      </w:rPr>
      <w:t xml:space="preserve">: </w:t>
    </w:r>
    <w:r w:rsidR="00EC23E5">
      <w:rPr>
        <w:sz w:val="20"/>
        <w:szCs w:val="20"/>
        <w:lang w:val="en-US"/>
      </w:rPr>
      <w:t>608-618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4A" w:rsidRPr="0072760E" w:rsidRDefault="00564A4A" w:rsidP="00F62F49">
    <w:pPr>
      <w:pStyle w:val="Header"/>
      <w:framePr w:wrap="around" w:vAnchor="text" w:hAnchor="margin" w:xAlign="outside" w:y="1"/>
      <w:rPr>
        <w:rStyle w:val="PageNumber"/>
        <w:sz w:val="20"/>
        <w:szCs w:val="22"/>
      </w:rPr>
    </w:pPr>
    <w:r w:rsidRPr="0072760E">
      <w:rPr>
        <w:rStyle w:val="PageNumber"/>
        <w:sz w:val="20"/>
        <w:szCs w:val="22"/>
      </w:rPr>
      <w:fldChar w:fldCharType="begin"/>
    </w:r>
    <w:r w:rsidRPr="0072760E">
      <w:rPr>
        <w:rStyle w:val="PageNumber"/>
        <w:sz w:val="20"/>
        <w:szCs w:val="22"/>
      </w:rPr>
      <w:instrText xml:space="preserve">PAGE  </w:instrText>
    </w:r>
    <w:r w:rsidRPr="0072760E">
      <w:rPr>
        <w:rStyle w:val="PageNumber"/>
        <w:sz w:val="20"/>
        <w:szCs w:val="22"/>
      </w:rPr>
      <w:fldChar w:fldCharType="separate"/>
    </w:r>
    <w:r>
      <w:rPr>
        <w:rStyle w:val="PageNumber"/>
        <w:sz w:val="20"/>
        <w:szCs w:val="22"/>
      </w:rPr>
      <w:t>105</w:t>
    </w:r>
    <w:r w:rsidRPr="0072760E">
      <w:rPr>
        <w:rStyle w:val="PageNumber"/>
        <w:sz w:val="20"/>
        <w:szCs w:val="22"/>
      </w:rPr>
      <w:fldChar w:fldCharType="end"/>
    </w:r>
  </w:p>
  <w:p w:rsidR="00564A4A" w:rsidRPr="004A15BA" w:rsidRDefault="00AA187A" w:rsidP="004A15BA">
    <w:pPr>
      <w:tabs>
        <w:tab w:val="left" w:leader="dot" w:pos="8010"/>
      </w:tabs>
      <w:rPr>
        <w:i/>
        <w:sz w:val="20"/>
        <w:szCs w:val="20"/>
        <w:lang w:val="en-US"/>
      </w:rPr>
    </w:pPr>
    <w:r w:rsidRPr="00AA187A">
      <w:rPr>
        <w:i/>
        <w:sz w:val="20"/>
        <w:lang w:val="en-US"/>
      </w:rPr>
      <w:t xml:space="preserve">Prian Ruri Pratama Manurung </w:t>
    </w:r>
    <w:r w:rsidR="00564A4A" w:rsidRPr="00257F4F">
      <w:rPr>
        <w:i/>
        <w:sz w:val="20"/>
        <w:lang w:val="en-US"/>
      </w:rPr>
      <w:t xml:space="preserve">– </w:t>
    </w:r>
    <w:r w:rsidRPr="00AA187A">
      <w:rPr>
        <w:i/>
        <w:sz w:val="20"/>
        <w:lang w:val="en-US"/>
      </w:rPr>
      <w:t>Analisis Faktor-Faktor Yang Mempengaruhi Produksi</w:t>
    </w:r>
    <w:r w:rsidR="00564A4A" w:rsidRPr="00297CBB">
      <w:rPr>
        <w:i/>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4A" w:rsidRDefault="00564A4A" w:rsidP="00741863">
    <w:pPr>
      <w:tabs>
        <w:tab w:val="right" w:pos="8370"/>
      </w:tabs>
      <w:rPr>
        <w:sz w:val="20"/>
        <w:szCs w:val="20"/>
      </w:rPr>
    </w:pPr>
    <w:r>
      <w:rPr>
        <w:sz w:val="20"/>
        <w:szCs w:val="20"/>
      </w:rPr>
      <w:t>Jurnal Ekonomi Pertanian dan Agribisnis (JEPA)</w:t>
    </w:r>
    <w:r>
      <w:rPr>
        <w:sz w:val="20"/>
        <w:szCs w:val="20"/>
      </w:rPr>
      <w:tab/>
      <w:t>ISSN: 2614-4670 (p), ISSN: 2598-8174 (e)</w:t>
    </w:r>
  </w:p>
  <w:p w:rsidR="00564A4A" w:rsidRPr="0038398A" w:rsidRDefault="00564A4A" w:rsidP="00741863">
    <w:pPr>
      <w:rPr>
        <w:sz w:val="20"/>
        <w:szCs w:val="20"/>
      </w:rPr>
    </w:pPr>
    <w:r>
      <w:rPr>
        <w:sz w:val="20"/>
        <w:szCs w:val="20"/>
      </w:rPr>
      <w:t xml:space="preserve">Volume 3, Nomor </w:t>
    </w:r>
    <w:r w:rsidR="002871A3">
      <w:rPr>
        <w:sz w:val="20"/>
        <w:szCs w:val="20"/>
        <w:lang w:val="en-US"/>
      </w:rPr>
      <w:t>3</w:t>
    </w:r>
    <w:r w:rsidRPr="001D59D8">
      <w:rPr>
        <w:sz w:val="20"/>
        <w:szCs w:val="20"/>
      </w:rPr>
      <w:t xml:space="preserve"> </w:t>
    </w:r>
    <w:r>
      <w:rPr>
        <w:sz w:val="20"/>
        <w:szCs w:val="20"/>
      </w:rPr>
      <w:t xml:space="preserve">(2019): </w:t>
    </w:r>
    <w:r w:rsidR="00845D4A">
      <w:rPr>
        <w:sz w:val="20"/>
        <w:szCs w:val="20"/>
        <w:lang w:val="en-US"/>
      </w:rPr>
      <w:t>60</w:t>
    </w:r>
    <w:r w:rsidR="00EC23E5">
      <w:rPr>
        <w:sz w:val="20"/>
        <w:szCs w:val="20"/>
        <w:lang w:val="en-US"/>
      </w:rPr>
      <w:t>8</w:t>
    </w:r>
    <w:r w:rsidR="00845D4A">
      <w:rPr>
        <w:sz w:val="20"/>
        <w:szCs w:val="20"/>
        <w:lang w:val="en-US"/>
      </w:rPr>
      <w:t>-61</w:t>
    </w:r>
    <w:r w:rsidR="00EC23E5">
      <w:rPr>
        <w:sz w:val="20"/>
        <w:szCs w:val="20"/>
        <w:lang w:val="en-US"/>
      </w:rPr>
      <w:t>8</w:t>
    </w:r>
  </w:p>
  <w:p w:rsidR="00564A4A" w:rsidRPr="003A2A0B" w:rsidRDefault="00564A4A" w:rsidP="00F62F49">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77CF"/>
    <w:multiLevelType w:val="multilevel"/>
    <w:tmpl w:val="59C07A3A"/>
    <w:lvl w:ilvl="0">
      <w:start w:val="4"/>
      <w:numFmt w:val="decimal"/>
      <w:lvlText w:val="%1"/>
      <w:lvlJc w:val="left"/>
      <w:pPr>
        <w:ind w:left="360" w:hanging="360"/>
      </w:pPr>
      <w:rPr>
        <w:rFonts w:hint="default"/>
      </w:rPr>
    </w:lvl>
    <w:lvl w:ilvl="1">
      <w:start w:val="1"/>
      <w:numFmt w:val="decimal"/>
      <w:pStyle w:val="Style10"/>
      <w:lvlText w:val="%1.%2"/>
      <w:lvlJc w:val="left"/>
      <w:pPr>
        <w:ind w:left="360" w:hanging="360"/>
      </w:pPr>
      <w:rPr>
        <w:rFonts w:hint="default"/>
      </w:rPr>
    </w:lvl>
    <w:lvl w:ilvl="2">
      <w:start w:val="1"/>
      <w:numFmt w:val="decimal"/>
      <w:pStyle w:val="Style11"/>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D63110"/>
    <w:multiLevelType w:val="hybridMultilevel"/>
    <w:tmpl w:val="EF8EB8C4"/>
    <w:lvl w:ilvl="0" w:tplc="05889464">
      <w:start w:val="1"/>
      <w:numFmt w:val="decimal"/>
      <w:pStyle w:val="TESISSUBSUBBABVI62"/>
      <w:lvlText w:val="6.2.%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31F703F5"/>
    <w:multiLevelType w:val="multilevel"/>
    <w:tmpl w:val="30D6DA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tyle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F72E73"/>
    <w:multiLevelType w:val="hybridMultilevel"/>
    <w:tmpl w:val="5B66BE4A"/>
    <w:lvl w:ilvl="0" w:tplc="3A566AAA">
      <w:start w:val="1"/>
      <w:numFmt w:val="decimal"/>
      <w:pStyle w:val="TESISSUBSUBBABVI61"/>
      <w:lvlText w:val="6.1.%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B732BC"/>
    <w:multiLevelType w:val="hybridMultilevel"/>
    <w:tmpl w:val="29528518"/>
    <w:lvl w:ilvl="0" w:tplc="4950FF96">
      <w:start w:val="1"/>
      <w:numFmt w:val="decimal"/>
      <w:pStyle w:val="TESISSubBABV"/>
      <w:lvlText w:val="5.%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635335F2"/>
    <w:multiLevelType w:val="hybridMultilevel"/>
    <w:tmpl w:val="72C0AA54"/>
    <w:lvl w:ilvl="0" w:tplc="050ABCAA">
      <w:start w:val="1"/>
      <w:numFmt w:val="decimal"/>
      <w:pStyle w:val="TESISSUBSUBBABIII372"/>
      <w:lvlText w:val="3.7.3.%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734B8"/>
    <w:multiLevelType w:val="hybridMultilevel"/>
    <w:tmpl w:val="70026626"/>
    <w:lvl w:ilvl="0" w:tplc="5AE09E20">
      <w:start w:val="1"/>
      <w:numFmt w:val="decimal"/>
      <w:pStyle w:val="TESISSUBBABVII"/>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13534"/>
    <w:multiLevelType w:val="hybridMultilevel"/>
    <w:tmpl w:val="75A4AC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0DF5987"/>
    <w:multiLevelType w:val="multilevel"/>
    <w:tmpl w:val="E12A879C"/>
    <w:lvl w:ilvl="0">
      <w:start w:val="2"/>
      <w:numFmt w:val="upperRoman"/>
      <w:lvlText w:val="%1."/>
      <w:lvlJc w:val="left"/>
      <w:pPr>
        <w:ind w:left="1080" w:hanging="720"/>
      </w:pPr>
      <w:rPr>
        <w:rFonts w:hint="default"/>
      </w:rPr>
    </w:lvl>
    <w:lvl w:ilvl="1">
      <w:start w:val="1"/>
      <w:numFmt w:val="decimal"/>
      <w:pStyle w:val="Style7"/>
      <w:isLgl/>
      <w:lvlText w:val="%1.%2"/>
      <w:lvlJc w:val="left"/>
      <w:pPr>
        <w:ind w:left="5748" w:hanging="360"/>
      </w:pPr>
      <w:rPr>
        <w:rFonts w:hint="default"/>
      </w:rPr>
    </w:lvl>
    <w:lvl w:ilvl="2">
      <w:start w:val="1"/>
      <w:numFmt w:val="decimal"/>
      <w:pStyle w:val="Style9"/>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C41F11"/>
    <w:multiLevelType w:val="hybridMultilevel"/>
    <w:tmpl w:val="1D2ECE28"/>
    <w:lvl w:ilvl="0" w:tplc="32123C0C">
      <w:start w:val="1"/>
      <w:numFmt w:val="decimal"/>
      <w:pStyle w:val="TESISSUBBABVI"/>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E83F99"/>
    <w:multiLevelType w:val="hybridMultilevel"/>
    <w:tmpl w:val="D9C63B64"/>
    <w:lvl w:ilvl="0" w:tplc="E61A39D8">
      <w:start w:val="1"/>
      <w:numFmt w:val="decimal"/>
      <w:pStyle w:val="TESISSUBSUBSUBBABIII3731"/>
      <w:lvlText w:val="3.7.3.1.%1."/>
      <w:lvlJc w:val="left"/>
      <w:pPr>
        <w:ind w:left="28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3"/>
  </w:num>
  <w:num w:numId="6">
    <w:abstractNumId w:val="9"/>
  </w:num>
  <w:num w:numId="7">
    <w:abstractNumId w:val="1"/>
  </w:num>
  <w:num w:numId="8">
    <w:abstractNumId w:val="5"/>
  </w:num>
  <w:num w:numId="9">
    <w:abstractNumId w:val="10"/>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CC"/>
    <w:rsid w:val="000023FA"/>
    <w:rsid w:val="00002F9F"/>
    <w:rsid w:val="00003272"/>
    <w:rsid w:val="00003FDD"/>
    <w:rsid w:val="00006910"/>
    <w:rsid w:val="00006A07"/>
    <w:rsid w:val="000072E7"/>
    <w:rsid w:val="00011F6E"/>
    <w:rsid w:val="000129FE"/>
    <w:rsid w:val="00012DCA"/>
    <w:rsid w:val="0001335E"/>
    <w:rsid w:val="00014C47"/>
    <w:rsid w:val="00017B05"/>
    <w:rsid w:val="00017B27"/>
    <w:rsid w:val="00021211"/>
    <w:rsid w:val="0002156C"/>
    <w:rsid w:val="000215EF"/>
    <w:rsid w:val="0002219F"/>
    <w:rsid w:val="00022468"/>
    <w:rsid w:val="0002319E"/>
    <w:rsid w:val="000232C9"/>
    <w:rsid w:val="000238CC"/>
    <w:rsid w:val="000238E9"/>
    <w:rsid w:val="000238ED"/>
    <w:rsid w:val="00023F9F"/>
    <w:rsid w:val="00024CF5"/>
    <w:rsid w:val="000255BA"/>
    <w:rsid w:val="000269F2"/>
    <w:rsid w:val="00026DD4"/>
    <w:rsid w:val="0002766E"/>
    <w:rsid w:val="00027D8F"/>
    <w:rsid w:val="00030BA7"/>
    <w:rsid w:val="00031265"/>
    <w:rsid w:val="000347FA"/>
    <w:rsid w:val="00035707"/>
    <w:rsid w:val="00037E5E"/>
    <w:rsid w:val="000407E2"/>
    <w:rsid w:val="00040B6A"/>
    <w:rsid w:val="00041B51"/>
    <w:rsid w:val="00041E23"/>
    <w:rsid w:val="00046289"/>
    <w:rsid w:val="00046CC4"/>
    <w:rsid w:val="00047C3E"/>
    <w:rsid w:val="0005047E"/>
    <w:rsid w:val="000543C1"/>
    <w:rsid w:val="00056F01"/>
    <w:rsid w:val="000601F6"/>
    <w:rsid w:val="00060399"/>
    <w:rsid w:val="00060DB8"/>
    <w:rsid w:val="000612A8"/>
    <w:rsid w:val="00061507"/>
    <w:rsid w:val="000631DF"/>
    <w:rsid w:val="0006418A"/>
    <w:rsid w:val="000643CA"/>
    <w:rsid w:val="000673CA"/>
    <w:rsid w:val="00067D75"/>
    <w:rsid w:val="000708CD"/>
    <w:rsid w:val="00071D78"/>
    <w:rsid w:val="0007366A"/>
    <w:rsid w:val="000736F8"/>
    <w:rsid w:val="000747D1"/>
    <w:rsid w:val="0007508A"/>
    <w:rsid w:val="00075876"/>
    <w:rsid w:val="000769E6"/>
    <w:rsid w:val="00077D55"/>
    <w:rsid w:val="00081696"/>
    <w:rsid w:val="0008247A"/>
    <w:rsid w:val="00083AC6"/>
    <w:rsid w:val="00084735"/>
    <w:rsid w:val="000868B0"/>
    <w:rsid w:val="00090060"/>
    <w:rsid w:val="00090376"/>
    <w:rsid w:val="00090D84"/>
    <w:rsid w:val="00090F70"/>
    <w:rsid w:val="000914D4"/>
    <w:rsid w:val="000923C3"/>
    <w:rsid w:val="000931B0"/>
    <w:rsid w:val="0009770D"/>
    <w:rsid w:val="00097EFE"/>
    <w:rsid w:val="000A1F0E"/>
    <w:rsid w:val="000A2453"/>
    <w:rsid w:val="000A37F9"/>
    <w:rsid w:val="000A6580"/>
    <w:rsid w:val="000A69AC"/>
    <w:rsid w:val="000A7570"/>
    <w:rsid w:val="000A7E94"/>
    <w:rsid w:val="000B03D2"/>
    <w:rsid w:val="000B0B22"/>
    <w:rsid w:val="000B1742"/>
    <w:rsid w:val="000B1FAB"/>
    <w:rsid w:val="000B2431"/>
    <w:rsid w:val="000B4BC2"/>
    <w:rsid w:val="000B59DF"/>
    <w:rsid w:val="000B5B69"/>
    <w:rsid w:val="000C05BF"/>
    <w:rsid w:val="000C1592"/>
    <w:rsid w:val="000C16A2"/>
    <w:rsid w:val="000C25E3"/>
    <w:rsid w:val="000C25E6"/>
    <w:rsid w:val="000C30A4"/>
    <w:rsid w:val="000C521E"/>
    <w:rsid w:val="000C5D81"/>
    <w:rsid w:val="000C7A4F"/>
    <w:rsid w:val="000D1F47"/>
    <w:rsid w:val="000D2793"/>
    <w:rsid w:val="000D4844"/>
    <w:rsid w:val="000D50A3"/>
    <w:rsid w:val="000D5C81"/>
    <w:rsid w:val="000E01FB"/>
    <w:rsid w:val="000E06BE"/>
    <w:rsid w:val="000E0E67"/>
    <w:rsid w:val="000E10D6"/>
    <w:rsid w:val="000E236F"/>
    <w:rsid w:val="000E322D"/>
    <w:rsid w:val="000E46DF"/>
    <w:rsid w:val="000E4795"/>
    <w:rsid w:val="000E4E4D"/>
    <w:rsid w:val="000E54EB"/>
    <w:rsid w:val="000E5BA3"/>
    <w:rsid w:val="000F1972"/>
    <w:rsid w:val="000F30B3"/>
    <w:rsid w:val="000F48A0"/>
    <w:rsid w:val="000F5234"/>
    <w:rsid w:val="000F72F5"/>
    <w:rsid w:val="001000B4"/>
    <w:rsid w:val="0010095F"/>
    <w:rsid w:val="00102A93"/>
    <w:rsid w:val="00104FDE"/>
    <w:rsid w:val="00105837"/>
    <w:rsid w:val="001062B7"/>
    <w:rsid w:val="00110E94"/>
    <w:rsid w:val="00112A28"/>
    <w:rsid w:val="001160A9"/>
    <w:rsid w:val="001163E2"/>
    <w:rsid w:val="0011708F"/>
    <w:rsid w:val="00120997"/>
    <w:rsid w:val="00121295"/>
    <w:rsid w:val="00121449"/>
    <w:rsid w:val="0012145D"/>
    <w:rsid w:val="001218D0"/>
    <w:rsid w:val="0012195B"/>
    <w:rsid w:val="00121B61"/>
    <w:rsid w:val="00122B48"/>
    <w:rsid w:val="0012417D"/>
    <w:rsid w:val="001251A1"/>
    <w:rsid w:val="001265EF"/>
    <w:rsid w:val="00127064"/>
    <w:rsid w:val="001271A0"/>
    <w:rsid w:val="001273CF"/>
    <w:rsid w:val="001306C4"/>
    <w:rsid w:val="00130AA3"/>
    <w:rsid w:val="00131D18"/>
    <w:rsid w:val="00132741"/>
    <w:rsid w:val="0013389B"/>
    <w:rsid w:val="0013609F"/>
    <w:rsid w:val="001370C8"/>
    <w:rsid w:val="001417E8"/>
    <w:rsid w:val="0014223C"/>
    <w:rsid w:val="001441B5"/>
    <w:rsid w:val="00145773"/>
    <w:rsid w:val="0014613E"/>
    <w:rsid w:val="001500AF"/>
    <w:rsid w:val="00151ECC"/>
    <w:rsid w:val="0015285D"/>
    <w:rsid w:val="0015288C"/>
    <w:rsid w:val="00152C12"/>
    <w:rsid w:val="001536DD"/>
    <w:rsid w:val="00153C8E"/>
    <w:rsid w:val="0015527C"/>
    <w:rsid w:val="00156494"/>
    <w:rsid w:val="00160A4F"/>
    <w:rsid w:val="00160D25"/>
    <w:rsid w:val="00161596"/>
    <w:rsid w:val="00161E53"/>
    <w:rsid w:val="001631FC"/>
    <w:rsid w:val="00164E09"/>
    <w:rsid w:val="0016580C"/>
    <w:rsid w:val="00165D96"/>
    <w:rsid w:val="001700B5"/>
    <w:rsid w:val="001713F9"/>
    <w:rsid w:val="001719C0"/>
    <w:rsid w:val="001720D0"/>
    <w:rsid w:val="0017369E"/>
    <w:rsid w:val="001749BC"/>
    <w:rsid w:val="00174A48"/>
    <w:rsid w:val="001751FC"/>
    <w:rsid w:val="001752FA"/>
    <w:rsid w:val="001759E5"/>
    <w:rsid w:val="00177635"/>
    <w:rsid w:val="00180131"/>
    <w:rsid w:val="001803B8"/>
    <w:rsid w:val="00181011"/>
    <w:rsid w:val="00181DC8"/>
    <w:rsid w:val="00181FAB"/>
    <w:rsid w:val="00183803"/>
    <w:rsid w:val="00187725"/>
    <w:rsid w:val="001877BD"/>
    <w:rsid w:val="00187921"/>
    <w:rsid w:val="00191ACD"/>
    <w:rsid w:val="00191FD2"/>
    <w:rsid w:val="00194717"/>
    <w:rsid w:val="0019481A"/>
    <w:rsid w:val="001956C6"/>
    <w:rsid w:val="00195D24"/>
    <w:rsid w:val="001965E7"/>
    <w:rsid w:val="00196B25"/>
    <w:rsid w:val="00197D7F"/>
    <w:rsid w:val="001A10CB"/>
    <w:rsid w:val="001A1A19"/>
    <w:rsid w:val="001A3129"/>
    <w:rsid w:val="001A4164"/>
    <w:rsid w:val="001A4CBC"/>
    <w:rsid w:val="001A568A"/>
    <w:rsid w:val="001A62B9"/>
    <w:rsid w:val="001A7123"/>
    <w:rsid w:val="001A79AD"/>
    <w:rsid w:val="001A7E98"/>
    <w:rsid w:val="001B1CE3"/>
    <w:rsid w:val="001B2526"/>
    <w:rsid w:val="001B43D3"/>
    <w:rsid w:val="001B4EBF"/>
    <w:rsid w:val="001B5A17"/>
    <w:rsid w:val="001B65C5"/>
    <w:rsid w:val="001C3B68"/>
    <w:rsid w:val="001C42E8"/>
    <w:rsid w:val="001C47BE"/>
    <w:rsid w:val="001C5696"/>
    <w:rsid w:val="001C5F46"/>
    <w:rsid w:val="001D0211"/>
    <w:rsid w:val="001D10C2"/>
    <w:rsid w:val="001D16D0"/>
    <w:rsid w:val="001D6ACE"/>
    <w:rsid w:val="001D7EB6"/>
    <w:rsid w:val="001E00B3"/>
    <w:rsid w:val="001E5AB2"/>
    <w:rsid w:val="001E74EC"/>
    <w:rsid w:val="001F07CC"/>
    <w:rsid w:val="001F24B9"/>
    <w:rsid w:val="001F2FF0"/>
    <w:rsid w:val="001F5191"/>
    <w:rsid w:val="001F5884"/>
    <w:rsid w:val="001F6F1E"/>
    <w:rsid w:val="001F7456"/>
    <w:rsid w:val="001F7C4F"/>
    <w:rsid w:val="00200BCB"/>
    <w:rsid w:val="002026F4"/>
    <w:rsid w:val="00203F7E"/>
    <w:rsid w:val="002066F1"/>
    <w:rsid w:val="00211049"/>
    <w:rsid w:val="002112A0"/>
    <w:rsid w:val="002119C2"/>
    <w:rsid w:val="002120E5"/>
    <w:rsid w:val="00212822"/>
    <w:rsid w:val="00212845"/>
    <w:rsid w:val="002129CF"/>
    <w:rsid w:val="00215885"/>
    <w:rsid w:val="00216191"/>
    <w:rsid w:val="00216ED3"/>
    <w:rsid w:val="002177D7"/>
    <w:rsid w:val="00217E17"/>
    <w:rsid w:val="00220CC2"/>
    <w:rsid w:val="00222147"/>
    <w:rsid w:val="00226944"/>
    <w:rsid w:val="002269A2"/>
    <w:rsid w:val="00227945"/>
    <w:rsid w:val="00230EA9"/>
    <w:rsid w:val="002316AA"/>
    <w:rsid w:val="0023172E"/>
    <w:rsid w:val="00231CE1"/>
    <w:rsid w:val="00231E4A"/>
    <w:rsid w:val="00232CF6"/>
    <w:rsid w:val="00233899"/>
    <w:rsid w:val="00235885"/>
    <w:rsid w:val="0023596C"/>
    <w:rsid w:val="00236377"/>
    <w:rsid w:val="00240172"/>
    <w:rsid w:val="002409B6"/>
    <w:rsid w:val="002416EC"/>
    <w:rsid w:val="00243FB7"/>
    <w:rsid w:val="00244107"/>
    <w:rsid w:val="00244C18"/>
    <w:rsid w:val="00245557"/>
    <w:rsid w:val="00245900"/>
    <w:rsid w:val="00247006"/>
    <w:rsid w:val="002500CD"/>
    <w:rsid w:val="002511C3"/>
    <w:rsid w:val="002517F7"/>
    <w:rsid w:val="00257F4F"/>
    <w:rsid w:val="00262912"/>
    <w:rsid w:val="0026359D"/>
    <w:rsid w:val="00264743"/>
    <w:rsid w:val="00270879"/>
    <w:rsid w:val="00270BFA"/>
    <w:rsid w:val="002712D8"/>
    <w:rsid w:val="00277F2B"/>
    <w:rsid w:val="00282877"/>
    <w:rsid w:val="002830CE"/>
    <w:rsid w:val="00283FA4"/>
    <w:rsid w:val="0028471B"/>
    <w:rsid w:val="002850E5"/>
    <w:rsid w:val="0028551A"/>
    <w:rsid w:val="0028659A"/>
    <w:rsid w:val="002871A3"/>
    <w:rsid w:val="00287667"/>
    <w:rsid w:val="00287BCB"/>
    <w:rsid w:val="00290E66"/>
    <w:rsid w:val="00291AE5"/>
    <w:rsid w:val="00292140"/>
    <w:rsid w:val="002923E4"/>
    <w:rsid w:val="00292A74"/>
    <w:rsid w:val="0029394E"/>
    <w:rsid w:val="002943AC"/>
    <w:rsid w:val="00294E28"/>
    <w:rsid w:val="00295BAC"/>
    <w:rsid w:val="00295FA2"/>
    <w:rsid w:val="002961D9"/>
    <w:rsid w:val="002973CB"/>
    <w:rsid w:val="00297CBB"/>
    <w:rsid w:val="002A0522"/>
    <w:rsid w:val="002A1F76"/>
    <w:rsid w:val="002A2341"/>
    <w:rsid w:val="002A48A2"/>
    <w:rsid w:val="002A50EB"/>
    <w:rsid w:val="002A66B2"/>
    <w:rsid w:val="002B1C5D"/>
    <w:rsid w:val="002B245F"/>
    <w:rsid w:val="002B2713"/>
    <w:rsid w:val="002B38FA"/>
    <w:rsid w:val="002B41DB"/>
    <w:rsid w:val="002B4768"/>
    <w:rsid w:val="002B50EF"/>
    <w:rsid w:val="002B7910"/>
    <w:rsid w:val="002C11FE"/>
    <w:rsid w:val="002C196E"/>
    <w:rsid w:val="002C239A"/>
    <w:rsid w:val="002C4B24"/>
    <w:rsid w:val="002C4DAC"/>
    <w:rsid w:val="002C5022"/>
    <w:rsid w:val="002C55DA"/>
    <w:rsid w:val="002D03D4"/>
    <w:rsid w:val="002D110F"/>
    <w:rsid w:val="002D40B2"/>
    <w:rsid w:val="002D4505"/>
    <w:rsid w:val="002D5625"/>
    <w:rsid w:val="002D66EB"/>
    <w:rsid w:val="002E00A8"/>
    <w:rsid w:val="002E0642"/>
    <w:rsid w:val="002E0F6D"/>
    <w:rsid w:val="002E4563"/>
    <w:rsid w:val="002E6183"/>
    <w:rsid w:val="002E7AF2"/>
    <w:rsid w:val="002F065F"/>
    <w:rsid w:val="002F0DF8"/>
    <w:rsid w:val="002F1268"/>
    <w:rsid w:val="002F1DD7"/>
    <w:rsid w:val="002F2AA0"/>
    <w:rsid w:val="002F3410"/>
    <w:rsid w:val="002F3830"/>
    <w:rsid w:val="002F3A64"/>
    <w:rsid w:val="002F3CC2"/>
    <w:rsid w:val="002F5474"/>
    <w:rsid w:val="002F783C"/>
    <w:rsid w:val="0030016C"/>
    <w:rsid w:val="003041F8"/>
    <w:rsid w:val="00304C65"/>
    <w:rsid w:val="00306430"/>
    <w:rsid w:val="0030759E"/>
    <w:rsid w:val="00307658"/>
    <w:rsid w:val="00310213"/>
    <w:rsid w:val="0031267D"/>
    <w:rsid w:val="003128C2"/>
    <w:rsid w:val="00313E54"/>
    <w:rsid w:val="003145EB"/>
    <w:rsid w:val="00314AE9"/>
    <w:rsid w:val="0031548A"/>
    <w:rsid w:val="0031629B"/>
    <w:rsid w:val="00317A6F"/>
    <w:rsid w:val="003218F5"/>
    <w:rsid w:val="0032227D"/>
    <w:rsid w:val="00323180"/>
    <w:rsid w:val="00323341"/>
    <w:rsid w:val="0032502D"/>
    <w:rsid w:val="0032564C"/>
    <w:rsid w:val="003264E4"/>
    <w:rsid w:val="0032758D"/>
    <w:rsid w:val="00327E02"/>
    <w:rsid w:val="00330039"/>
    <w:rsid w:val="0033003C"/>
    <w:rsid w:val="00330D9B"/>
    <w:rsid w:val="00331B57"/>
    <w:rsid w:val="00332D35"/>
    <w:rsid w:val="00333433"/>
    <w:rsid w:val="00333F8C"/>
    <w:rsid w:val="0033623A"/>
    <w:rsid w:val="00337409"/>
    <w:rsid w:val="003402D1"/>
    <w:rsid w:val="0034082D"/>
    <w:rsid w:val="003440BD"/>
    <w:rsid w:val="00344680"/>
    <w:rsid w:val="00344B74"/>
    <w:rsid w:val="00344E2E"/>
    <w:rsid w:val="0034597C"/>
    <w:rsid w:val="00346C7F"/>
    <w:rsid w:val="0034764C"/>
    <w:rsid w:val="0035298D"/>
    <w:rsid w:val="00352B11"/>
    <w:rsid w:val="00352FB0"/>
    <w:rsid w:val="00353695"/>
    <w:rsid w:val="00355614"/>
    <w:rsid w:val="00355920"/>
    <w:rsid w:val="00356554"/>
    <w:rsid w:val="00360B53"/>
    <w:rsid w:val="00361348"/>
    <w:rsid w:val="00362718"/>
    <w:rsid w:val="00362C5D"/>
    <w:rsid w:val="00370DF5"/>
    <w:rsid w:val="00370EBD"/>
    <w:rsid w:val="00371DD9"/>
    <w:rsid w:val="0037233A"/>
    <w:rsid w:val="0037284B"/>
    <w:rsid w:val="0037389F"/>
    <w:rsid w:val="00373F16"/>
    <w:rsid w:val="00374861"/>
    <w:rsid w:val="00374A0E"/>
    <w:rsid w:val="00375498"/>
    <w:rsid w:val="00375D5A"/>
    <w:rsid w:val="0037747A"/>
    <w:rsid w:val="00377B1A"/>
    <w:rsid w:val="00382F99"/>
    <w:rsid w:val="003835E3"/>
    <w:rsid w:val="0038398A"/>
    <w:rsid w:val="00384970"/>
    <w:rsid w:val="003867EF"/>
    <w:rsid w:val="0038797F"/>
    <w:rsid w:val="00387B3D"/>
    <w:rsid w:val="00387D0A"/>
    <w:rsid w:val="00390853"/>
    <w:rsid w:val="003924C8"/>
    <w:rsid w:val="00394921"/>
    <w:rsid w:val="00394CB9"/>
    <w:rsid w:val="003955DE"/>
    <w:rsid w:val="003959A5"/>
    <w:rsid w:val="0039704F"/>
    <w:rsid w:val="003A0639"/>
    <w:rsid w:val="003A2A0B"/>
    <w:rsid w:val="003A3DAE"/>
    <w:rsid w:val="003A584D"/>
    <w:rsid w:val="003A6F6A"/>
    <w:rsid w:val="003A736A"/>
    <w:rsid w:val="003B1AA9"/>
    <w:rsid w:val="003B1AC5"/>
    <w:rsid w:val="003B2013"/>
    <w:rsid w:val="003B36ED"/>
    <w:rsid w:val="003B41C9"/>
    <w:rsid w:val="003B434C"/>
    <w:rsid w:val="003B5590"/>
    <w:rsid w:val="003B5E4F"/>
    <w:rsid w:val="003B61B1"/>
    <w:rsid w:val="003B6F0C"/>
    <w:rsid w:val="003B7F83"/>
    <w:rsid w:val="003C2DAD"/>
    <w:rsid w:val="003C4010"/>
    <w:rsid w:val="003C6BFF"/>
    <w:rsid w:val="003C7075"/>
    <w:rsid w:val="003C74DC"/>
    <w:rsid w:val="003D0CAF"/>
    <w:rsid w:val="003D4E2C"/>
    <w:rsid w:val="003D5824"/>
    <w:rsid w:val="003D6330"/>
    <w:rsid w:val="003D6E9A"/>
    <w:rsid w:val="003E04F5"/>
    <w:rsid w:val="003E096A"/>
    <w:rsid w:val="003E1B4C"/>
    <w:rsid w:val="003E635F"/>
    <w:rsid w:val="003E7C6D"/>
    <w:rsid w:val="003F027B"/>
    <w:rsid w:val="003F080C"/>
    <w:rsid w:val="003F10FB"/>
    <w:rsid w:val="003F4AD7"/>
    <w:rsid w:val="003F54D7"/>
    <w:rsid w:val="003F56E2"/>
    <w:rsid w:val="003F5980"/>
    <w:rsid w:val="003F7508"/>
    <w:rsid w:val="00404105"/>
    <w:rsid w:val="004067A0"/>
    <w:rsid w:val="00407450"/>
    <w:rsid w:val="00407B8E"/>
    <w:rsid w:val="004111E7"/>
    <w:rsid w:val="004129E3"/>
    <w:rsid w:val="004153BF"/>
    <w:rsid w:val="00415FAC"/>
    <w:rsid w:val="00416DEA"/>
    <w:rsid w:val="00417370"/>
    <w:rsid w:val="00417CA6"/>
    <w:rsid w:val="00420C8C"/>
    <w:rsid w:val="00420C96"/>
    <w:rsid w:val="004228A7"/>
    <w:rsid w:val="00424608"/>
    <w:rsid w:val="00425106"/>
    <w:rsid w:val="004263A4"/>
    <w:rsid w:val="0042648B"/>
    <w:rsid w:val="004266F1"/>
    <w:rsid w:val="00426E97"/>
    <w:rsid w:val="0042724D"/>
    <w:rsid w:val="00427598"/>
    <w:rsid w:val="00427657"/>
    <w:rsid w:val="00427DE4"/>
    <w:rsid w:val="00427EC3"/>
    <w:rsid w:val="0043071D"/>
    <w:rsid w:val="00430A70"/>
    <w:rsid w:val="004314F4"/>
    <w:rsid w:val="00431754"/>
    <w:rsid w:val="00433127"/>
    <w:rsid w:val="00433CB3"/>
    <w:rsid w:val="004346E3"/>
    <w:rsid w:val="0043472F"/>
    <w:rsid w:val="0043484D"/>
    <w:rsid w:val="00435062"/>
    <w:rsid w:val="00436026"/>
    <w:rsid w:val="00436414"/>
    <w:rsid w:val="00436CBC"/>
    <w:rsid w:val="004412A5"/>
    <w:rsid w:val="00442DAE"/>
    <w:rsid w:val="0044336C"/>
    <w:rsid w:val="0044461E"/>
    <w:rsid w:val="00450518"/>
    <w:rsid w:val="00450543"/>
    <w:rsid w:val="00450855"/>
    <w:rsid w:val="00452111"/>
    <w:rsid w:val="00452E6E"/>
    <w:rsid w:val="00454B34"/>
    <w:rsid w:val="00454C44"/>
    <w:rsid w:val="00454E80"/>
    <w:rsid w:val="00455977"/>
    <w:rsid w:val="00455B9C"/>
    <w:rsid w:val="00460A52"/>
    <w:rsid w:val="00460F48"/>
    <w:rsid w:val="00461CE1"/>
    <w:rsid w:val="00461DFB"/>
    <w:rsid w:val="00462C10"/>
    <w:rsid w:val="0046429B"/>
    <w:rsid w:val="00466DE3"/>
    <w:rsid w:val="0046722C"/>
    <w:rsid w:val="00467617"/>
    <w:rsid w:val="0047481F"/>
    <w:rsid w:val="00475B1E"/>
    <w:rsid w:val="00475D13"/>
    <w:rsid w:val="00476030"/>
    <w:rsid w:val="00476409"/>
    <w:rsid w:val="00477B5F"/>
    <w:rsid w:val="00477C40"/>
    <w:rsid w:val="00477DE7"/>
    <w:rsid w:val="00480758"/>
    <w:rsid w:val="00485D57"/>
    <w:rsid w:val="004869CC"/>
    <w:rsid w:val="0048727A"/>
    <w:rsid w:val="0049014E"/>
    <w:rsid w:val="00490644"/>
    <w:rsid w:val="00491CE4"/>
    <w:rsid w:val="0049211C"/>
    <w:rsid w:val="00492DE8"/>
    <w:rsid w:val="004930E7"/>
    <w:rsid w:val="0049393A"/>
    <w:rsid w:val="004946FF"/>
    <w:rsid w:val="004A15BA"/>
    <w:rsid w:val="004A1F79"/>
    <w:rsid w:val="004A2180"/>
    <w:rsid w:val="004A4A08"/>
    <w:rsid w:val="004B0A26"/>
    <w:rsid w:val="004B1D5E"/>
    <w:rsid w:val="004B1EC7"/>
    <w:rsid w:val="004B413C"/>
    <w:rsid w:val="004B58EE"/>
    <w:rsid w:val="004B6FD7"/>
    <w:rsid w:val="004C0082"/>
    <w:rsid w:val="004C19C4"/>
    <w:rsid w:val="004C2A28"/>
    <w:rsid w:val="004C33CB"/>
    <w:rsid w:val="004C3670"/>
    <w:rsid w:val="004C3D14"/>
    <w:rsid w:val="004C4F4B"/>
    <w:rsid w:val="004D05B2"/>
    <w:rsid w:val="004D0757"/>
    <w:rsid w:val="004D1D81"/>
    <w:rsid w:val="004D2157"/>
    <w:rsid w:val="004D2B84"/>
    <w:rsid w:val="004D4918"/>
    <w:rsid w:val="004D5444"/>
    <w:rsid w:val="004D6113"/>
    <w:rsid w:val="004D6299"/>
    <w:rsid w:val="004D78F2"/>
    <w:rsid w:val="004E36B0"/>
    <w:rsid w:val="004E47D0"/>
    <w:rsid w:val="004E5AA4"/>
    <w:rsid w:val="004E6ACD"/>
    <w:rsid w:val="004E6BB6"/>
    <w:rsid w:val="004E73FB"/>
    <w:rsid w:val="004F0120"/>
    <w:rsid w:val="004F0FF8"/>
    <w:rsid w:val="004F1669"/>
    <w:rsid w:val="004F3F5A"/>
    <w:rsid w:val="004F51C2"/>
    <w:rsid w:val="004F665D"/>
    <w:rsid w:val="004F68FC"/>
    <w:rsid w:val="00502475"/>
    <w:rsid w:val="00502F4C"/>
    <w:rsid w:val="00503295"/>
    <w:rsid w:val="005046D3"/>
    <w:rsid w:val="005050A9"/>
    <w:rsid w:val="005050C6"/>
    <w:rsid w:val="00505649"/>
    <w:rsid w:val="0050572E"/>
    <w:rsid w:val="005066DB"/>
    <w:rsid w:val="00511586"/>
    <w:rsid w:val="00514631"/>
    <w:rsid w:val="00514D67"/>
    <w:rsid w:val="00515EAA"/>
    <w:rsid w:val="00516A78"/>
    <w:rsid w:val="00517E67"/>
    <w:rsid w:val="005206D4"/>
    <w:rsid w:val="00523800"/>
    <w:rsid w:val="00523A29"/>
    <w:rsid w:val="00523FDF"/>
    <w:rsid w:val="00524773"/>
    <w:rsid w:val="00524921"/>
    <w:rsid w:val="00525D47"/>
    <w:rsid w:val="0052684B"/>
    <w:rsid w:val="00526C12"/>
    <w:rsid w:val="00532591"/>
    <w:rsid w:val="005340CC"/>
    <w:rsid w:val="00534E09"/>
    <w:rsid w:val="00536665"/>
    <w:rsid w:val="00536F09"/>
    <w:rsid w:val="005372A5"/>
    <w:rsid w:val="00541748"/>
    <w:rsid w:val="005427BC"/>
    <w:rsid w:val="00542E94"/>
    <w:rsid w:val="00543936"/>
    <w:rsid w:val="00544A6F"/>
    <w:rsid w:val="00545032"/>
    <w:rsid w:val="00545E4A"/>
    <w:rsid w:val="005476D6"/>
    <w:rsid w:val="00547DFF"/>
    <w:rsid w:val="00554234"/>
    <w:rsid w:val="00554321"/>
    <w:rsid w:val="00556462"/>
    <w:rsid w:val="00564A4A"/>
    <w:rsid w:val="00570791"/>
    <w:rsid w:val="00570B50"/>
    <w:rsid w:val="00571C8D"/>
    <w:rsid w:val="00571EBF"/>
    <w:rsid w:val="00573722"/>
    <w:rsid w:val="00573CBC"/>
    <w:rsid w:val="00574697"/>
    <w:rsid w:val="00575552"/>
    <w:rsid w:val="00581154"/>
    <w:rsid w:val="005813CD"/>
    <w:rsid w:val="0058266C"/>
    <w:rsid w:val="005829B1"/>
    <w:rsid w:val="0058603C"/>
    <w:rsid w:val="0058672C"/>
    <w:rsid w:val="00587162"/>
    <w:rsid w:val="00587595"/>
    <w:rsid w:val="00592610"/>
    <w:rsid w:val="005927B8"/>
    <w:rsid w:val="00593D73"/>
    <w:rsid w:val="0059415B"/>
    <w:rsid w:val="005949CE"/>
    <w:rsid w:val="00594E58"/>
    <w:rsid w:val="00596D0F"/>
    <w:rsid w:val="00596F2F"/>
    <w:rsid w:val="00597D01"/>
    <w:rsid w:val="005A0308"/>
    <w:rsid w:val="005A0D45"/>
    <w:rsid w:val="005A4500"/>
    <w:rsid w:val="005A773D"/>
    <w:rsid w:val="005A7BDD"/>
    <w:rsid w:val="005B0D61"/>
    <w:rsid w:val="005B1673"/>
    <w:rsid w:val="005B44F4"/>
    <w:rsid w:val="005B4956"/>
    <w:rsid w:val="005B6792"/>
    <w:rsid w:val="005B688F"/>
    <w:rsid w:val="005B7A0C"/>
    <w:rsid w:val="005C134B"/>
    <w:rsid w:val="005C485D"/>
    <w:rsid w:val="005C4DA5"/>
    <w:rsid w:val="005C5253"/>
    <w:rsid w:val="005C613B"/>
    <w:rsid w:val="005D41D2"/>
    <w:rsid w:val="005D42E3"/>
    <w:rsid w:val="005D58C7"/>
    <w:rsid w:val="005D7A41"/>
    <w:rsid w:val="005E4FBF"/>
    <w:rsid w:val="005E52F1"/>
    <w:rsid w:val="005E6CC6"/>
    <w:rsid w:val="005E7442"/>
    <w:rsid w:val="005F1D2C"/>
    <w:rsid w:val="005F2371"/>
    <w:rsid w:val="005F3BC9"/>
    <w:rsid w:val="005F5F01"/>
    <w:rsid w:val="005F601E"/>
    <w:rsid w:val="005F7915"/>
    <w:rsid w:val="00600B4B"/>
    <w:rsid w:val="00601403"/>
    <w:rsid w:val="0060332B"/>
    <w:rsid w:val="00603C96"/>
    <w:rsid w:val="0060422C"/>
    <w:rsid w:val="0060489B"/>
    <w:rsid w:val="00610968"/>
    <w:rsid w:val="0061183E"/>
    <w:rsid w:val="00613661"/>
    <w:rsid w:val="00613F38"/>
    <w:rsid w:val="0061438E"/>
    <w:rsid w:val="00614ED5"/>
    <w:rsid w:val="00616521"/>
    <w:rsid w:val="00617363"/>
    <w:rsid w:val="0061741D"/>
    <w:rsid w:val="006174EC"/>
    <w:rsid w:val="00620421"/>
    <w:rsid w:val="00621D7C"/>
    <w:rsid w:val="0062341D"/>
    <w:rsid w:val="00624207"/>
    <w:rsid w:val="00624586"/>
    <w:rsid w:val="00626109"/>
    <w:rsid w:val="00627D62"/>
    <w:rsid w:val="00630749"/>
    <w:rsid w:val="0063136E"/>
    <w:rsid w:val="00634B0C"/>
    <w:rsid w:val="00636900"/>
    <w:rsid w:val="00637A70"/>
    <w:rsid w:val="00640D28"/>
    <w:rsid w:val="00640EEE"/>
    <w:rsid w:val="00641718"/>
    <w:rsid w:val="00641B6E"/>
    <w:rsid w:val="00643138"/>
    <w:rsid w:val="006454A5"/>
    <w:rsid w:val="006459A6"/>
    <w:rsid w:val="00645C7E"/>
    <w:rsid w:val="00646757"/>
    <w:rsid w:val="00647297"/>
    <w:rsid w:val="00652DE9"/>
    <w:rsid w:val="00655E1C"/>
    <w:rsid w:val="00657E85"/>
    <w:rsid w:val="00661572"/>
    <w:rsid w:val="0066180D"/>
    <w:rsid w:val="00661F83"/>
    <w:rsid w:val="00661FB0"/>
    <w:rsid w:val="00662D91"/>
    <w:rsid w:val="00663F3D"/>
    <w:rsid w:val="00664057"/>
    <w:rsid w:val="006645A0"/>
    <w:rsid w:val="006651FB"/>
    <w:rsid w:val="00665BA2"/>
    <w:rsid w:val="00666C79"/>
    <w:rsid w:val="00667074"/>
    <w:rsid w:val="0067016B"/>
    <w:rsid w:val="00671A59"/>
    <w:rsid w:val="006739CA"/>
    <w:rsid w:val="006745D8"/>
    <w:rsid w:val="006746C0"/>
    <w:rsid w:val="00674D98"/>
    <w:rsid w:val="00675DB6"/>
    <w:rsid w:val="006775CD"/>
    <w:rsid w:val="00677CB1"/>
    <w:rsid w:val="006801B0"/>
    <w:rsid w:val="006828AB"/>
    <w:rsid w:val="00685697"/>
    <w:rsid w:val="0068689B"/>
    <w:rsid w:val="0068743E"/>
    <w:rsid w:val="00691F1F"/>
    <w:rsid w:val="00694819"/>
    <w:rsid w:val="00695AB4"/>
    <w:rsid w:val="00695E02"/>
    <w:rsid w:val="00696529"/>
    <w:rsid w:val="006965D6"/>
    <w:rsid w:val="00696EA9"/>
    <w:rsid w:val="006A32D6"/>
    <w:rsid w:val="006A35E6"/>
    <w:rsid w:val="006A5CCC"/>
    <w:rsid w:val="006A6233"/>
    <w:rsid w:val="006A6FF4"/>
    <w:rsid w:val="006A73A9"/>
    <w:rsid w:val="006B0AFD"/>
    <w:rsid w:val="006B0BC5"/>
    <w:rsid w:val="006B1140"/>
    <w:rsid w:val="006B1195"/>
    <w:rsid w:val="006B13FC"/>
    <w:rsid w:val="006B1B87"/>
    <w:rsid w:val="006B1CD7"/>
    <w:rsid w:val="006B1CEF"/>
    <w:rsid w:val="006B33F9"/>
    <w:rsid w:val="006B39FB"/>
    <w:rsid w:val="006B40B1"/>
    <w:rsid w:val="006B449F"/>
    <w:rsid w:val="006B4A13"/>
    <w:rsid w:val="006B6746"/>
    <w:rsid w:val="006B7BAB"/>
    <w:rsid w:val="006C0B83"/>
    <w:rsid w:val="006C0DDF"/>
    <w:rsid w:val="006C108B"/>
    <w:rsid w:val="006C1A1C"/>
    <w:rsid w:val="006C1AE1"/>
    <w:rsid w:val="006C29F7"/>
    <w:rsid w:val="006C5451"/>
    <w:rsid w:val="006C54CB"/>
    <w:rsid w:val="006C65BA"/>
    <w:rsid w:val="006C6736"/>
    <w:rsid w:val="006C6F8A"/>
    <w:rsid w:val="006D1E51"/>
    <w:rsid w:val="006D25FE"/>
    <w:rsid w:val="006D3672"/>
    <w:rsid w:val="006D6F56"/>
    <w:rsid w:val="006E01D3"/>
    <w:rsid w:val="006E2187"/>
    <w:rsid w:val="006E2D57"/>
    <w:rsid w:val="006E41E3"/>
    <w:rsid w:val="006E4212"/>
    <w:rsid w:val="006E473C"/>
    <w:rsid w:val="006F296B"/>
    <w:rsid w:val="006F3DA8"/>
    <w:rsid w:val="006F42BB"/>
    <w:rsid w:val="006F4EC5"/>
    <w:rsid w:val="006F5F28"/>
    <w:rsid w:val="006F646A"/>
    <w:rsid w:val="006F78DC"/>
    <w:rsid w:val="006F7C0A"/>
    <w:rsid w:val="0070273F"/>
    <w:rsid w:val="00702971"/>
    <w:rsid w:val="007079DD"/>
    <w:rsid w:val="0071111C"/>
    <w:rsid w:val="00711248"/>
    <w:rsid w:val="007130C3"/>
    <w:rsid w:val="00714EB7"/>
    <w:rsid w:val="007150B7"/>
    <w:rsid w:val="007153DA"/>
    <w:rsid w:val="00715AF2"/>
    <w:rsid w:val="00720028"/>
    <w:rsid w:val="007209F0"/>
    <w:rsid w:val="00720FD0"/>
    <w:rsid w:val="00721442"/>
    <w:rsid w:val="00721A0D"/>
    <w:rsid w:val="00721A6F"/>
    <w:rsid w:val="00721F21"/>
    <w:rsid w:val="00722924"/>
    <w:rsid w:val="00724E0F"/>
    <w:rsid w:val="007253D1"/>
    <w:rsid w:val="00725DC5"/>
    <w:rsid w:val="007262A7"/>
    <w:rsid w:val="00726D23"/>
    <w:rsid w:val="0072760E"/>
    <w:rsid w:val="007276A6"/>
    <w:rsid w:val="007310FE"/>
    <w:rsid w:val="0073477A"/>
    <w:rsid w:val="007348E3"/>
    <w:rsid w:val="007361E2"/>
    <w:rsid w:val="007365F1"/>
    <w:rsid w:val="00736FCC"/>
    <w:rsid w:val="0073798C"/>
    <w:rsid w:val="00737D71"/>
    <w:rsid w:val="00741863"/>
    <w:rsid w:val="007434C5"/>
    <w:rsid w:val="00743F1E"/>
    <w:rsid w:val="00746C5D"/>
    <w:rsid w:val="00747296"/>
    <w:rsid w:val="00747992"/>
    <w:rsid w:val="007519CC"/>
    <w:rsid w:val="007528C6"/>
    <w:rsid w:val="00755147"/>
    <w:rsid w:val="0075530C"/>
    <w:rsid w:val="00757487"/>
    <w:rsid w:val="00757A23"/>
    <w:rsid w:val="007614F5"/>
    <w:rsid w:val="00762D35"/>
    <w:rsid w:val="00763E73"/>
    <w:rsid w:val="00764505"/>
    <w:rsid w:val="00767591"/>
    <w:rsid w:val="00767E47"/>
    <w:rsid w:val="00770DEB"/>
    <w:rsid w:val="007717EC"/>
    <w:rsid w:val="0077353F"/>
    <w:rsid w:val="00774F69"/>
    <w:rsid w:val="007753D7"/>
    <w:rsid w:val="007757AE"/>
    <w:rsid w:val="00776839"/>
    <w:rsid w:val="00781264"/>
    <w:rsid w:val="00782AB4"/>
    <w:rsid w:val="00783AC7"/>
    <w:rsid w:val="00783ACA"/>
    <w:rsid w:val="0078602E"/>
    <w:rsid w:val="007876CA"/>
    <w:rsid w:val="00790442"/>
    <w:rsid w:val="007921F0"/>
    <w:rsid w:val="00795028"/>
    <w:rsid w:val="00795137"/>
    <w:rsid w:val="007961A4"/>
    <w:rsid w:val="00796796"/>
    <w:rsid w:val="007A0B41"/>
    <w:rsid w:val="007A11F5"/>
    <w:rsid w:val="007A38DC"/>
    <w:rsid w:val="007A4F7C"/>
    <w:rsid w:val="007A511A"/>
    <w:rsid w:val="007A5360"/>
    <w:rsid w:val="007A5521"/>
    <w:rsid w:val="007A5DFE"/>
    <w:rsid w:val="007A5E9A"/>
    <w:rsid w:val="007A792B"/>
    <w:rsid w:val="007B0173"/>
    <w:rsid w:val="007B158D"/>
    <w:rsid w:val="007B2509"/>
    <w:rsid w:val="007B3C31"/>
    <w:rsid w:val="007B3C80"/>
    <w:rsid w:val="007B4394"/>
    <w:rsid w:val="007B5133"/>
    <w:rsid w:val="007B5669"/>
    <w:rsid w:val="007B7FC6"/>
    <w:rsid w:val="007C072A"/>
    <w:rsid w:val="007C0E9E"/>
    <w:rsid w:val="007C37E3"/>
    <w:rsid w:val="007C3F0A"/>
    <w:rsid w:val="007C5187"/>
    <w:rsid w:val="007C56AA"/>
    <w:rsid w:val="007C5A0C"/>
    <w:rsid w:val="007C64D8"/>
    <w:rsid w:val="007C65E6"/>
    <w:rsid w:val="007C72B6"/>
    <w:rsid w:val="007C79D0"/>
    <w:rsid w:val="007C7F95"/>
    <w:rsid w:val="007D000D"/>
    <w:rsid w:val="007D1B0D"/>
    <w:rsid w:val="007D1FCA"/>
    <w:rsid w:val="007D4F07"/>
    <w:rsid w:val="007D6AA4"/>
    <w:rsid w:val="007D7D47"/>
    <w:rsid w:val="007E37CE"/>
    <w:rsid w:val="007E3D0C"/>
    <w:rsid w:val="007E4D9B"/>
    <w:rsid w:val="007E57B6"/>
    <w:rsid w:val="007E679A"/>
    <w:rsid w:val="007E72C8"/>
    <w:rsid w:val="007F0E29"/>
    <w:rsid w:val="007F4E57"/>
    <w:rsid w:val="0080179D"/>
    <w:rsid w:val="00801C29"/>
    <w:rsid w:val="00802569"/>
    <w:rsid w:val="008027DF"/>
    <w:rsid w:val="008029D7"/>
    <w:rsid w:val="008029F9"/>
    <w:rsid w:val="00803B3F"/>
    <w:rsid w:val="00805559"/>
    <w:rsid w:val="008111CE"/>
    <w:rsid w:val="008126D0"/>
    <w:rsid w:val="00812A53"/>
    <w:rsid w:val="00813C2C"/>
    <w:rsid w:val="0081406C"/>
    <w:rsid w:val="00814094"/>
    <w:rsid w:val="00814A0F"/>
    <w:rsid w:val="00814AC9"/>
    <w:rsid w:val="00814D10"/>
    <w:rsid w:val="008159D9"/>
    <w:rsid w:val="008174FD"/>
    <w:rsid w:val="00817E54"/>
    <w:rsid w:val="0082117D"/>
    <w:rsid w:val="008218B4"/>
    <w:rsid w:val="008220B7"/>
    <w:rsid w:val="00822517"/>
    <w:rsid w:val="00824E77"/>
    <w:rsid w:val="00826C2E"/>
    <w:rsid w:val="00831589"/>
    <w:rsid w:val="00831BA6"/>
    <w:rsid w:val="00832B73"/>
    <w:rsid w:val="00834DC9"/>
    <w:rsid w:val="00835F78"/>
    <w:rsid w:val="00837889"/>
    <w:rsid w:val="008378BD"/>
    <w:rsid w:val="0084120B"/>
    <w:rsid w:val="00842387"/>
    <w:rsid w:val="008456FE"/>
    <w:rsid w:val="00845D4A"/>
    <w:rsid w:val="00845E21"/>
    <w:rsid w:val="0084668F"/>
    <w:rsid w:val="008467D9"/>
    <w:rsid w:val="00846F64"/>
    <w:rsid w:val="008509DB"/>
    <w:rsid w:val="00851366"/>
    <w:rsid w:val="00852487"/>
    <w:rsid w:val="00853014"/>
    <w:rsid w:val="0085523E"/>
    <w:rsid w:val="0085691E"/>
    <w:rsid w:val="00857523"/>
    <w:rsid w:val="00863409"/>
    <w:rsid w:val="00863BDB"/>
    <w:rsid w:val="00863E76"/>
    <w:rsid w:val="008647A3"/>
    <w:rsid w:val="008653DC"/>
    <w:rsid w:val="008658A5"/>
    <w:rsid w:val="00865D50"/>
    <w:rsid w:val="00867F63"/>
    <w:rsid w:val="0087475E"/>
    <w:rsid w:val="00874B4B"/>
    <w:rsid w:val="008768FE"/>
    <w:rsid w:val="00876B4E"/>
    <w:rsid w:val="00877329"/>
    <w:rsid w:val="00882550"/>
    <w:rsid w:val="0088263F"/>
    <w:rsid w:val="008837E1"/>
    <w:rsid w:val="0088419D"/>
    <w:rsid w:val="008855FB"/>
    <w:rsid w:val="008856C2"/>
    <w:rsid w:val="008857B9"/>
    <w:rsid w:val="008869E7"/>
    <w:rsid w:val="008902B7"/>
    <w:rsid w:val="008909DA"/>
    <w:rsid w:val="00890F78"/>
    <w:rsid w:val="0089132E"/>
    <w:rsid w:val="00892D35"/>
    <w:rsid w:val="00894C9E"/>
    <w:rsid w:val="00895193"/>
    <w:rsid w:val="008A5004"/>
    <w:rsid w:val="008A5AE2"/>
    <w:rsid w:val="008B0CF5"/>
    <w:rsid w:val="008B0EB8"/>
    <w:rsid w:val="008B1304"/>
    <w:rsid w:val="008B426A"/>
    <w:rsid w:val="008B45CF"/>
    <w:rsid w:val="008B6CE3"/>
    <w:rsid w:val="008B7F25"/>
    <w:rsid w:val="008C11EB"/>
    <w:rsid w:val="008C177E"/>
    <w:rsid w:val="008C1FB0"/>
    <w:rsid w:val="008C2861"/>
    <w:rsid w:val="008C30BC"/>
    <w:rsid w:val="008C389B"/>
    <w:rsid w:val="008C6543"/>
    <w:rsid w:val="008C65EA"/>
    <w:rsid w:val="008D1F2D"/>
    <w:rsid w:val="008D3021"/>
    <w:rsid w:val="008D3C78"/>
    <w:rsid w:val="008D4E32"/>
    <w:rsid w:val="008D5C5C"/>
    <w:rsid w:val="008D651B"/>
    <w:rsid w:val="008D7252"/>
    <w:rsid w:val="008E058B"/>
    <w:rsid w:val="008E0EEB"/>
    <w:rsid w:val="008E57CF"/>
    <w:rsid w:val="008E5D2F"/>
    <w:rsid w:val="008E6348"/>
    <w:rsid w:val="008E7157"/>
    <w:rsid w:val="008F0CD9"/>
    <w:rsid w:val="008F1E05"/>
    <w:rsid w:val="008F2F09"/>
    <w:rsid w:val="008F33DB"/>
    <w:rsid w:val="008F3E5E"/>
    <w:rsid w:val="008F48D2"/>
    <w:rsid w:val="008F497F"/>
    <w:rsid w:val="008F4ED1"/>
    <w:rsid w:val="008F5C95"/>
    <w:rsid w:val="008F72A5"/>
    <w:rsid w:val="008F7D7D"/>
    <w:rsid w:val="009006D6"/>
    <w:rsid w:val="00901491"/>
    <w:rsid w:val="00902C9A"/>
    <w:rsid w:val="00903146"/>
    <w:rsid w:val="0090337C"/>
    <w:rsid w:val="0090478E"/>
    <w:rsid w:val="00904E51"/>
    <w:rsid w:val="00905146"/>
    <w:rsid w:val="00906033"/>
    <w:rsid w:val="00906272"/>
    <w:rsid w:val="00906C6E"/>
    <w:rsid w:val="00910039"/>
    <w:rsid w:val="00912B0A"/>
    <w:rsid w:val="00913C75"/>
    <w:rsid w:val="00915753"/>
    <w:rsid w:val="00916340"/>
    <w:rsid w:val="00916712"/>
    <w:rsid w:val="00917795"/>
    <w:rsid w:val="00917BFB"/>
    <w:rsid w:val="00920C1A"/>
    <w:rsid w:val="00921CD0"/>
    <w:rsid w:val="00922479"/>
    <w:rsid w:val="0092286E"/>
    <w:rsid w:val="00931049"/>
    <w:rsid w:val="00933A86"/>
    <w:rsid w:val="00934942"/>
    <w:rsid w:val="00935E26"/>
    <w:rsid w:val="0093777A"/>
    <w:rsid w:val="00937912"/>
    <w:rsid w:val="00941484"/>
    <w:rsid w:val="009420D1"/>
    <w:rsid w:val="00942396"/>
    <w:rsid w:val="009426FD"/>
    <w:rsid w:val="00942874"/>
    <w:rsid w:val="0094507D"/>
    <w:rsid w:val="00950EAD"/>
    <w:rsid w:val="00953664"/>
    <w:rsid w:val="009559C6"/>
    <w:rsid w:val="00956023"/>
    <w:rsid w:val="00956F90"/>
    <w:rsid w:val="00957CEB"/>
    <w:rsid w:val="0096120D"/>
    <w:rsid w:val="00962F05"/>
    <w:rsid w:val="00964F6E"/>
    <w:rsid w:val="009665F6"/>
    <w:rsid w:val="00967200"/>
    <w:rsid w:val="00967334"/>
    <w:rsid w:val="009701B6"/>
    <w:rsid w:val="00970CDB"/>
    <w:rsid w:val="00971187"/>
    <w:rsid w:val="00971804"/>
    <w:rsid w:val="00973F10"/>
    <w:rsid w:val="0097584F"/>
    <w:rsid w:val="009778D7"/>
    <w:rsid w:val="00983047"/>
    <w:rsid w:val="00987C6E"/>
    <w:rsid w:val="00987E2F"/>
    <w:rsid w:val="00990EC9"/>
    <w:rsid w:val="00992C82"/>
    <w:rsid w:val="00992F49"/>
    <w:rsid w:val="00993933"/>
    <w:rsid w:val="00994253"/>
    <w:rsid w:val="009953D0"/>
    <w:rsid w:val="00997D1F"/>
    <w:rsid w:val="009A06C1"/>
    <w:rsid w:val="009A3AE0"/>
    <w:rsid w:val="009A5BE1"/>
    <w:rsid w:val="009A77FB"/>
    <w:rsid w:val="009B0CF1"/>
    <w:rsid w:val="009B1023"/>
    <w:rsid w:val="009B21A6"/>
    <w:rsid w:val="009B3501"/>
    <w:rsid w:val="009B3666"/>
    <w:rsid w:val="009B4155"/>
    <w:rsid w:val="009B541F"/>
    <w:rsid w:val="009B7848"/>
    <w:rsid w:val="009C1D21"/>
    <w:rsid w:val="009C22D7"/>
    <w:rsid w:val="009C2E45"/>
    <w:rsid w:val="009C38D0"/>
    <w:rsid w:val="009C415E"/>
    <w:rsid w:val="009C4B50"/>
    <w:rsid w:val="009C4F8E"/>
    <w:rsid w:val="009C55C5"/>
    <w:rsid w:val="009C646C"/>
    <w:rsid w:val="009C7DFF"/>
    <w:rsid w:val="009D1189"/>
    <w:rsid w:val="009D1358"/>
    <w:rsid w:val="009D246D"/>
    <w:rsid w:val="009D2496"/>
    <w:rsid w:val="009D4C19"/>
    <w:rsid w:val="009D6BEC"/>
    <w:rsid w:val="009D7945"/>
    <w:rsid w:val="009D795B"/>
    <w:rsid w:val="009E1010"/>
    <w:rsid w:val="009E1F60"/>
    <w:rsid w:val="009E203E"/>
    <w:rsid w:val="009E25ED"/>
    <w:rsid w:val="009E430E"/>
    <w:rsid w:val="009E46E1"/>
    <w:rsid w:val="009E46F4"/>
    <w:rsid w:val="009E4A3F"/>
    <w:rsid w:val="009E5939"/>
    <w:rsid w:val="009E5D0E"/>
    <w:rsid w:val="009E60CE"/>
    <w:rsid w:val="009E71D7"/>
    <w:rsid w:val="009F032A"/>
    <w:rsid w:val="009F095E"/>
    <w:rsid w:val="009F1BFF"/>
    <w:rsid w:val="009F3B93"/>
    <w:rsid w:val="009F435D"/>
    <w:rsid w:val="009F5938"/>
    <w:rsid w:val="009F69AF"/>
    <w:rsid w:val="009F69B1"/>
    <w:rsid w:val="009F700D"/>
    <w:rsid w:val="009F7910"/>
    <w:rsid w:val="009F7D11"/>
    <w:rsid w:val="009F7D9E"/>
    <w:rsid w:val="00A04C9B"/>
    <w:rsid w:val="00A05C4B"/>
    <w:rsid w:val="00A0617B"/>
    <w:rsid w:val="00A106AD"/>
    <w:rsid w:val="00A10969"/>
    <w:rsid w:val="00A10E94"/>
    <w:rsid w:val="00A11754"/>
    <w:rsid w:val="00A13209"/>
    <w:rsid w:val="00A13446"/>
    <w:rsid w:val="00A143A0"/>
    <w:rsid w:val="00A14D0F"/>
    <w:rsid w:val="00A168B4"/>
    <w:rsid w:val="00A21472"/>
    <w:rsid w:val="00A21EBE"/>
    <w:rsid w:val="00A23215"/>
    <w:rsid w:val="00A23D82"/>
    <w:rsid w:val="00A23EE3"/>
    <w:rsid w:val="00A25BE4"/>
    <w:rsid w:val="00A27252"/>
    <w:rsid w:val="00A306E0"/>
    <w:rsid w:val="00A32474"/>
    <w:rsid w:val="00A32486"/>
    <w:rsid w:val="00A32EA1"/>
    <w:rsid w:val="00A335B4"/>
    <w:rsid w:val="00A3523B"/>
    <w:rsid w:val="00A358AE"/>
    <w:rsid w:val="00A366BD"/>
    <w:rsid w:val="00A37AF9"/>
    <w:rsid w:val="00A41100"/>
    <w:rsid w:val="00A417D1"/>
    <w:rsid w:val="00A4327B"/>
    <w:rsid w:val="00A4389C"/>
    <w:rsid w:val="00A46781"/>
    <w:rsid w:val="00A46F26"/>
    <w:rsid w:val="00A5158E"/>
    <w:rsid w:val="00A52970"/>
    <w:rsid w:val="00A568A7"/>
    <w:rsid w:val="00A573DD"/>
    <w:rsid w:val="00A57899"/>
    <w:rsid w:val="00A6039D"/>
    <w:rsid w:val="00A61E03"/>
    <w:rsid w:val="00A61F36"/>
    <w:rsid w:val="00A62466"/>
    <w:rsid w:val="00A6252F"/>
    <w:rsid w:val="00A6269B"/>
    <w:rsid w:val="00A62D9E"/>
    <w:rsid w:val="00A64524"/>
    <w:rsid w:val="00A66008"/>
    <w:rsid w:val="00A707A9"/>
    <w:rsid w:val="00A71028"/>
    <w:rsid w:val="00A715DD"/>
    <w:rsid w:val="00A73D32"/>
    <w:rsid w:val="00A7441B"/>
    <w:rsid w:val="00A74889"/>
    <w:rsid w:val="00A75903"/>
    <w:rsid w:val="00A76F59"/>
    <w:rsid w:val="00A7706B"/>
    <w:rsid w:val="00A771D1"/>
    <w:rsid w:val="00A77442"/>
    <w:rsid w:val="00A7787F"/>
    <w:rsid w:val="00A83435"/>
    <w:rsid w:val="00A86F05"/>
    <w:rsid w:val="00A874A7"/>
    <w:rsid w:val="00A879B3"/>
    <w:rsid w:val="00A90141"/>
    <w:rsid w:val="00A905A2"/>
    <w:rsid w:val="00A91061"/>
    <w:rsid w:val="00A91F1A"/>
    <w:rsid w:val="00A933C0"/>
    <w:rsid w:val="00A938AA"/>
    <w:rsid w:val="00A9473D"/>
    <w:rsid w:val="00A9546C"/>
    <w:rsid w:val="00A95ECD"/>
    <w:rsid w:val="00A963E8"/>
    <w:rsid w:val="00A96685"/>
    <w:rsid w:val="00A96FAB"/>
    <w:rsid w:val="00AA107C"/>
    <w:rsid w:val="00AA187A"/>
    <w:rsid w:val="00AA1AF0"/>
    <w:rsid w:val="00AA3B65"/>
    <w:rsid w:val="00AA3F9D"/>
    <w:rsid w:val="00AA45F8"/>
    <w:rsid w:val="00AA4B73"/>
    <w:rsid w:val="00AA5ACA"/>
    <w:rsid w:val="00AA6582"/>
    <w:rsid w:val="00AB0328"/>
    <w:rsid w:val="00AB0F98"/>
    <w:rsid w:val="00AB238D"/>
    <w:rsid w:val="00AB3C25"/>
    <w:rsid w:val="00AB451B"/>
    <w:rsid w:val="00AB5797"/>
    <w:rsid w:val="00AB5A9D"/>
    <w:rsid w:val="00AB5DA5"/>
    <w:rsid w:val="00AB65DA"/>
    <w:rsid w:val="00AB6CFB"/>
    <w:rsid w:val="00AB7E3C"/>
    <w:rsid w:val="00AC0743"/>
    <w:rsid w:val="00AC1065"/>
    <w:rsid w:val="00AC2511"/>
    <w:rsid w:val="00AC2D5F"/>
    <w:rsid w:val="00AC4D93"/>
    <w:rsid w:val="00AC5CDF"/>
    <w:rsid w:val="00AC75B7"/>
    <w:rsid w:val="00AC7B03"/>
    <w:rsid w:val="00AC7C18"/>
    <w:rsid w:val="00AC7E78"/>
    <w:rsid w:val="00AD00B3"/>
    <w:rsid w:val="00AD026E"/>
    <w:rsid w:val="00AD1483"/>
    <w:rsid w:val="00AD26CE"/>
    <w:rsid w:val="00AD34ED"/>
    <w:rsid w:val="00AD3DC2"/>
    <w:rsid w:val="00AD4C7E"/>
    <w:rsid w:val="00AD5224"/>
    <w:rsid w:val="00AD7B18"/>
    <w:rsid w:val="00AE0932"/>
    <w:rsid w:val="00AE0A51"/>
    <w:rsid w:val="00AE224F"/>
    <w:rsid w:val="00AE40E6"/>
    <w:rsid w:val="00AE4D9C"/>
    <w:rsid w:val="00AE5808"/>
    <w:rsid w:val="00AE59B7"/>
    <w:rsid w:val="00AE59F1"/>
    <w:rsid w:val="00AE782C"/>
    <w:rsid w:val="00AF3EB1"/>
    <w:rsid w:val="00AF42B6"/>
    <w:rsid w:val="00AF6360"/>
    <w:rsid w:val="00AF6D85"/>
    <w:rsid w:val="00B004E3"/>
    <w:rsid w:val="00B0089E"/>
    <w:rsid w:val="00B03D98"/>
    <w:rsid w:val="00B05165"/>
    <w:rsid w:val="00B056F4"/>
    <w:rsid w:val="00B06070"/>
    <w:rsid w:val="00B06FD4"/>
    <w:rsid w:val="00B07E38"/>
    <w:rsid w:val="00B1128D"/>
    <w:rsid w:val="00B11B35"/>
    <w:rsid w:val="00B129AF"/>
    <w:rsid w:val="00B13067"/>
    <w:rsid w:val="00B141C6"/>
    <w:rsid w:val="00B14C67"/>
    <w:rsid w:val="00B16B8E"/>
    <w:rsid w:val="00B20711"/>
    <w:rsid w:val="00B2291C"/>
    <w:rsid w:val="00B232BC"/>
    <w:rsid w:val="00B3137A"/>
    <w:rsid w:val="00B31AD0"/>
    <w:rsid w:val="00B32E68"/>
    <w:rsid w:val="00B34E40"/>
    <w:rsid w:val="00B358D8"/>
    <w:rsid w:val="00B36F1F"/>
    <w:rsid w:val="00B372F8"/>
    <w:rsid w:val="00B3764D"/>
    <w:rsid w:val="00B4073F"/>
    <w:rsid w:val="00B41284"/>
    <w:rsid w:val="00B417DC"/>
    <w:rsid w:val="00B4186D"/>
    <w:rsid w:val="00B42A2B"/>
    <w:rsid w:val="00B44483"/>
    <w:rsid w:val="00B470CC"/>
    <w:rsid w:val="00B47C4C"/>
    <w:rsid w:val="00B5346E"/>
    <w:rsid w:val="00B53A12"/>
    <w:rsid w:val="00B55DB5"/>
    <w:rsid w:val="00B56523"/>
    <w:rsid w:val="00B602F8"/>
    <w:rsid w:val="00B60307"/>
    <w:rsid w:val="00B607F1"/>
    <w:rsid w:val="00B61EDF"/>
    <w:rsid w:val="00B630CD"/>
    <w:rsid w:val="00B63251"/>
    <w:rsid w:val="00B64A42"/>
    <w:rsid w:val="00B654E3"/>
    <w:rsid w:val="00B6565A"/>
    <w:rsid w:val="00B6755E"/>
    <w:rsid w:val="00B74BC6"/>
    <w:rsid w:val="00B7565F"/>
    <w:rsid w:val="00B768C7"/>
    <w:rsid w:val="00B77BE2"/>
    <w:rsid w:val="00B8035B"/>
    <w:rsid w:val="00B82A85"/>
    <w:rsid w:val="00B838F0"/>
    <w:rsid w:val="00B85477"/>
    <w:rsid w:val="00B8632D"/>
    <w:rsid w:val="00B90491"/>
    <w:rsid w:val="00B905B4"/>
    <w:rsid w:val="00B90BC6"/>
    <w:rsid w:val="00B90CA3"/>
    <w:rsid w:val="00B91BA5"/>
    <w:rsid w:val="00B92800"/>
    <w:rsid w:val="00B92D50"/>
    <w:rsid w:val="00B944AB"/>
    <w:rsid w:val="00BA0D5F"/>
    <w:rsid w:val="00BA3366"/>
    <w:rsid w:val="00BA4F8A"/>
    <w:rsid w:val="00BA5161"/>
    <w:rsid w:val="00BA7113"/>
    <w:rsid w:val="00BB20EF"/>
    <w:rsid w:val="00BB44B4"/>
    <w:rsid w:val="00BB52C7"/>
    <w:rsid w:val="00BB73F7"/>
    <w:rsid w:val="00BC0E6B"/>
    <w:rsid w:val="00BC189B"/>
    <w:rsid w:val="00BC3228"/>
    <w:rsid w:val="00BC46BD"/>
    <w:rsid w:val="00BC52B9"/>
    <w:rsid w:val="00BC547F"/>
    <w:rsid w:val="00BC59E6"/>
    <w:rsid w:val="00BD1948"/>
    <w:rsid w:val="00BD7DCE"/>
    <w:rsid w:val="00BE274F"/>
    <w:rsid w:val="00BE37B1"/>
    <w:rsid w:val="00BE42EC"/>
    <w:rsid w:val="00BE6E60"/>
    <w:rsid w:val="00BF04C9"/>
    <w:rsid w:val="00BF1DDE"/>
    <w:rsid w:val="00BF5366"/>
    <w:rsid w:val="00BF56CA"/>
    <w:rsid w:val="00BF5E03"/>
    <w:rsid w:val="00BF739A"/>
    <w:rsid w:val="00BF7C1C"/>
    <w:rsid w:val="00C009C9"/>
    <w:rsid w:val="00C025E6"/>
    <w:rsid w:val="00C03328"/>
    <w:rsid w:val="00C0414D"/>
    <w:rsid w:val="00C0586F"/>
    <w:rsid w:val="00C0597B"/>
    <w:rsid w:val="00C05E70"/>
    <w:rsid w:val="00C11EB9"/>
    <w:rsid w:val="00C12166"/>
    <w:rsid w:val="00C12D39"/>
    <w:rsid w:val="00C1301F"/>
    <w:rsid w:val="00C13C95"/>
    <w:rsid w:val="00C152EA"/>
    <w:rsid w:val="00C16F59"/>
    <w:rsid w:val="00C171FC"/>
    <w:rsid w:val="00C2091E"/>
    <w:rsid w:val="00C22261"/>
    <w:rsid w:val="00C22CB2"/>
    <w:rsid w:val="00C23372"/>
    <w:rsid w:val="00C23939"/>
    <w:rsid w:val="00C25122"/>
    <w:rsid w:val="00C26186"/>
    <w:rsid w:val="00C304C1"/>
    <w:rsid w:val="00C30B05"/>
    <w:rsid w:val="00C3183D"/>
    <w:rsid w:val="00C31D9F"/>
    <w:rsid w:val="00C345DD"/>
    <w:rsid w:val="00C3496B"/>
    <w:rsid w:val="00C35D10"/>
    <w:rsid w:val="00C37272"/>
    <w:rsid w:val="00C37639"/>
    <w:rsid w:val="00C40800"/>
    <w:rsid w:val="00C41B80"/>
    <w:rsid w:val="00C42288"/>
    <w:rsid w:val="00C42C8A"/>
    <w:rsid w:val="00C433F5"/>
    <w:rsid w:val="00C434BC"/>
    <w:rsid w:val="00C43D3F"/>
    <w:rsid w:val="00C45706"/>
    <w:rsid w:val="00C478D5"/>
    <w:rsid w:val="00C5083E"/>
    <w:rsid w:val="00C509B0"/>
    <w:rsid w:val="00C52945"/>
    <w:rsid w:val="00C53703"/>
    <w:rsid w:val="00C557C7"/>
    <w:rsid w:val="00C56B0F"/>
    <w:rsid w:val="00C56F7F"/>
    <w:rsid w:val="00C57EE3"/>
    <w:rsid w:val="00C605BB"/>
    <w:rsid w:val="00C60FF9"/>
    <w:rsid w:val="00C613D6"/>
    <w:rsid w:val="00C61925"/>
    <w:rsid w:val="00C633CA"/>
    <w:rsid w:val="00C6434C"/>
    <w:rsid w:val="00C6558E"/>
    <w:rsid w:val="00C67B53"/>
    <w:rsid w:val="00C704FA"/>
    <w:rsid w:val="00C726E9"/>
    <w:rsid w:val="00C729EE"/>
    <w:rsid w:val="00C73A48"/>
    <w:rsid w:val="00C74532"/>
    <w:rsid w:val="00C76EBB"/>
    <w:rsid w:val="00C812FB"/>
    <w:rsid w:val="00C81F8A"/>
    <w:rsid w:val="00C840A4"/>
    <w:rsid w:val="00C84CBB"/>
    <w:rsid w:val="00C851F3"/>
    <w:rsid w:val="00C868CB"/>
    <w:rsid w:val="00C86D2D"/>
    <w:rsid w:val="00C87129"/>
    <w:rsid w:val="00C87541"/>
    <w:rsid w:val="00C87CA0"/>
    <w:rsid w:val="00C902DB"/>
    <w:rsid w:val="00C904D9"/>
    <w:rsid w:val="00C91BF0"/>
    <w:rsid w:val="00C9212F"/>
    <w:rsid w:val="00C9267B"/>
    <w:rsid w:val="00C93160"/>
    <w:rsid w:val="00C950E1"/>
    <w:rsid w:val="00C9511D"/>
    <w:rsid w:val="00C95282"/>
    <w:rsid w:val="00C954F9"/>
    <w:rsid w:val="00C959FD"/>
    <w:rsid w:val="00C97011"/>
    <w:rsid w:val="00CA0A99"/>
    <w:rsid w:val="00CA1E75"/>
    <w:rsid w:val="00CA2548"/>
    <w:rsid w:val="00CA2FB7"/>
    <w:rsid w:val="00CA4EA9"/>
    <w:rsid w:val="00CA565C"/>
    <w:rsid w:val="00CA627F"/>
    <w:rsid w:val="00CA7DB7"/>
    <w:rsid w:val="00CB0D56"/>
    <w:rsid w:val="00CB167D"/>
    <w:rsid w:val="00CB28EB"/>
    <w:rsid w:val="00CB6F64"/>
    <w:rsid w:val="00CB77E3"/>
    <w:rsid w:val="00CB7A43"/>
    <w:rsid w:val="00CB7C42"/>
    <w:rsid w:val="00CC19D0"/>
    <w:rsid w:val="00CC341C"/>
    <w:rsid w:val="00CC3739"/>
    <w:rsid w:val="00CC5758"/>
    <w:rsid w:val="00CC6514"/>
    <w:rsid w:val="00CC7C5E"/>
    <w:rsid w:val="00CD05A5"/>
    <w:rsid w:val="00CD1140"/>
    <w:rsid w:val="00CD161E"/>
    <w:rsid w:val="00CD2ADB"/>
    <w:rsid w:val="00CD2EF6"/>
    <w:rsid w:val="00CD34C5"/>
    <w:rsid w:val="00CD6A13"/>
    <w:rsid w:val="00CD6AA6"/>
    <w:rsid w:val="00CD7825"/>
    <w:rsid w:val="00CE0755"/>
    <w:rsid w:val="00CE0827"/>
    <w:rsid w:val="00CE0F82"/>
    <w:rsid w:val="00CE42FC"/>
    <w:rsid w:val="00CE49D3"/>
    <w:rsid w:val="00CE50A8"/>
    <w:rsid w:val="00CE5231"/>
    <w:rsid w:val="00CE5B32"/>
    <w:rsid w:val="00CE5DF8"/>
    <w:rsid w:val="00CF029D"/>
    <w:rsid w:val="00CF179C"/>
    <w:rsid w:val="00CF199B"/>
    <w:rsid w:val="00CF2A1F"/>
    <w:rsid w:val="00CF2EBF"/>
    <w:rsid w:val="00CF626A"/>
    <w:rsid w:val="00CF77A7"/>
    <w:rsid w:val="00D01ECE"/>
    <w:rsid w:val="00D02BC5"/>
    <w:rsid w:val="00D03FBC"/>
    <w:rsid w:val="00D05046"/>
    <w:rsid w:val="00D063FC"/>
    <w:rsid w:val="00D10992"/>
    <w:rsid w:val="00D10AE8"/>
    <w:rsid w:val="00D11E12"/>
    <w:rsid w:val="00D157C9"/>
    <w:rsid w:val="00D24EFC"/>
    <w:rsid w:val="00D24F62"/>
    <w:rsid w:val="00D25348"/>
    <w:rsid w:val="00D26E3D"/>
    <w:rsid w:val="00D26FE9"/>
    <w:rsid w:val="00D30125"/>
    <w:rsid w:val="00D31617"/>
    <w:rsid w:val="00D324EA"/>
    <w:rsid w:val="00D32D99"/>
    <w:rsid w:val="00D33574"/>
    <w:rsid w:val="00D33F26"/>
    <w:rsid w:val="00D345D0"/>
    <w:rsid w:val="00D356D0"/>
    <w:rsid w:val="00D35A7A"/>
    <w:rsid w:val="00D36A3B"/>
    <w:rsid w:val="00D4012A"/>
    <w:rsid w:val="00D4042C"/>
    <w:rsid w:val="00D41809"/>
    <w:rsid w:val="00D4212E"/>
    <w:rsid w:val="00D42B9D"/>
    <w:rsid w:val="00D43626"/>
    <w:rsid w:val="00D43718"/>
    <w:rsid w:val="00D453C1"/>
    <w:rsid w:val="00D4653D"/>
    <w:rsid w:val="00D47AB2"/>
    <w:rsid w:val="00D50AB5"/>
    <w:rsid w:val="00D52E16"/>
    <w:rsid w:val="00D5389B"/>
    <w:rsid w:val="00D55153"/>
    <w:rsid w:val="00D562F3"/>
    <w:rsid w:val="00D568D2"/>
    <w:rsid w:val="00D576D0"/>
    <w:rsid w:val="00D5783A"/>
    <w:rsid w:val="00D57A70"/>
    <w:rsid w:val="00D60348"/>
    <w:rsid w:val="00D605FA"/>
    <w:rsid w:val="00D62B8D"/>
    <w:rsid w:val="00D65749"/>
    <w:rsid w:val="00D67207"/>
    <w:rsid w:val="00D6720F"/>
    <w:rsid w:val="00D67E68"/>
    <w:rsid w:val="00D70E57"/>
    <w:rsid w:val="00D710FF"/>
    <w:rsid w:val="00D723FB"/>
    <w:rsid w:val="00D72E7B"/>
    <w:rsid w:val="00D7555E"/>
    <w:rsid w:val="00D77207"/>
    <w:rsid w:val="00D77225"/>
    <w:rsid w:val="00D779D2"/>
    <w:rsid w:val="00D77A2F"/>
    <w:rsid w:val="00D81094"/>
    <w:rsid w:val="00D81C4B"/>
    <w:rsid w:val="00D81CA6"/>
    <w:rsid w:val="00D820D1"/>
    <w:rsid w:val="00D82475"/>
    <w:rsid w:val="00D82589"/>
    <w:rsid w:val="00D8445E"/>
    <w:rsid w:val="00D86D3A"/>
    <w:rsid w:val="00D90FBB"/>
    <w:rsid w:val="00D91B77"/>
    <w:rsid w:val="00D92E19"/>
    <w:rsid w:val="00D932A0"/>
    <w:rsid w:val="00D93347"/>
    <w:rsid w:val="00D93A61"/>
    <w:rsid w:val="00D9406E"/>
    <w:rsid w:val="00D97683"/>
    <w:rsid w:val="00DA104B"/>
    <w:rsid w:val="00DA1193"/>
    <w:rsid w:val="00DA18B9"/>
    <w:rsid w:val="00DA2569"/>
    <w:rsid w:val="00DA418D"/>
    <w:rsid w:val="00DA47D3"/>
    <w:rsid w:val="00DA5848"/>
    <w:rsid w:val="00DA5935"/>
    <w:rsid w:val="00DA63C4"/>
    <w:rsid w:val="00DA6596"/>
    <w:rsid w:val="00DA75CC"/>
    <w:rsid w:val="00DA7C65"/>
    <w:rsid w:val="00DB01A8"/>
    <w:rsid w:val="00DB0CE7"/>
    <w:rsid w:val="00DB33C3"/>
    <w:rsid w:val="00DB3659"/>
    <w:rsid w:val="00DB532B"/>
    <w:rsid w:val="00DB5F23"/>
    <w:rsid w:val="00DC11DA"/>
    <w:rsid w:val="00DC17FB"/>
    <w:rsid w:val="00DC209A"/>
    <w:rsid w:val="00DC2514"/>
    <w:rsid w:val="00DC27C2"/>
    <w:rsid w:val="00DC3C8F"/>
    <w:rsid w:val="00DC46E9"/>
    <w:rsid w:val="00DC46FA"/>
    <w:rsid w:val="00DC6742"/>
    <w:rsid w:val="00DC7767"/>
    <w:rsid w:val="00DD1243"/>
    <w:rsid w:val="00DD3579"/>
    <w:rsid w:val="00DD4A77"/>
    <w:rsid w:val="00DD4DA5"/>
    <w:rsid w:val="00DD58F9"/>
    <w:rsid w:val="00DD5FB0"/>
    <w:rsid w:val="00DD6919"/>
    <w:rsid w:val="00DD7230"/>
    <w:rsid w:val="00DE10EA"/>
    <w:rsid w:val="00DE3A9F"/>
    <w:rsid w:val="00DE4178"/>
    <w:rsid w:val="00DE4322"/>
    <w:rsid w:val="00DE624F"/>
    <w:rsid w:val="00DE6EBB"/>
    <w:rsid w:val="00DE7948"/>
    <w:rsid w:val="00DE7B9E"/>
    <w:rsid w:val="00DF0431"/>
    <w:rsid w:val="00DF2751"/>
    <w:rsid w:val="00DF2D6E"/>
    <w:rsid w:val="00DF6CC5"/>
    <w:rsid w:val="00DF7238"/>
    <w:rsid w:val="00DF727D"/>
    <w:rsid w:val="00E00B3B"/>
    <w:rsid w:val="00E01D3C"/>
    <w:rsid w:val="00E02C93"/>
    <w:rsid w:val="00E0332F"/>
    <w:rsid w:val="00E03F88"/>
    <w:rsid w:val="00E04617"/>
    <w:rsid w:val="00E07783"/>
    <w:rsid w:val="00E10EA9"/>
    <w:rsid w:val="00E120D6"/>
    <w:rsid w:val="00E14733"/>
    <w:rsid w:val="00E14FC1"/>
    <w:rsid w:val="00E156A8"/>
    <w:rsid w:val="00E16B36"/>
    <w:rsid w:val="00E16C24"/>
    <w:rsid w:val="00E16F5B"/>
    <w:rsid w:val="00E16FFA"/>
    <w:rsid w:val="00E177FA"/>
    <w:rsid w:val="00E23281"/>
    <w:rsid w:val="00E24F06"/>
    <w:rsid w:val="00E32BCE"/>
    <w:rsid w:val="00E3377A"/>
    <w:rsid w:val="00E3551C"/>
    <w:rsid w:val="00E35B08"/>
    <w:rsid w:val="00E36757"/>
    <w:rsid w:val="00E4098A"/>
    <w:rsid w:val="00E40D4C"/>
    <w:rsid w:val="00E4153E"/>
    <w:rsid w:val="00E41851"/>
    <w:rsid w:val="00E41FC2"/>
    <w:rsid w:val="00E4482F"/>
    <w:rsid w:val="00E44BED"/>
    <w:rsid w:val="00E45660"/>
    <w:rsid w:val="00E4611F"/>
    <w:rsid w:val="00E466DF"/>
    <w:rsid w:val="00E467ED"/>
    <w:rsid w:val="00E50A25"/>
    <w:rsid w:val="00E51B06"/>
    <w:rsid w:val="00E52B92"/>
    <w:rsid w:val="00E532CF"/>
    <w:rsid w:val="00E53608"/>
    <w:rsid w:val="00E536A0"/>
    <w:rsid w:val="00E53DD8"/>
    <w:rsid w:val="00E55452"/>
    <w:rsid w:val="00E573F8"/>
    <w:rsid w:val="00E62675"/>
    <w:rsid w:val="00E65306"/>
    <w:rsid w:val="00E6797A"/>
    <w:rsid w:val="00E717C1"/>
    <w:rsid w:val="00E72153"/>
    <w:rsid w:val="00E74BDD"/>
    <w:rsid w:val="00E7613A"/>
    <w:rsid w:val="00E814B0"/>
    <w:rsid w:val="00E827A7"/>
    <w:rsid w:val="00E82E2D"/>
    <w:rsid w:val="00E8372F"/>
    <w:rsid w:val="00E83DD8"/>
    <w:rsid w:val="00E8454C"/>
    <w:rsid w:val="00E84928"/>
    <w:rsid w:val="00E861F7"/>
    <w:rsid w:val="00E87951"/>
    <w:rsid w:val="00E91BF8"/>
    <w:rsid w:val="00E91C93"/>
    <w:rsid w:val="00E9355E"/>
    <w:rsid w:val="00E94BAF"/>
    <w:rsid w:val="00E955AF"/>
    <w:rsid w:val="00E96909"/>
    <w:rsid w:val="00E969A0"/>
    <w:rsid w:val="00EA15E1"/>
    <w:rsid w:val="00EA21A6"/>
    <w:rsid w:val="00EA620D"/>
    <w:rsid w:val="00EB28D1"/>
    <w:rsid w:val="00EB2AAF"/>
    <w:rsid w:val="00EB3E3B"/>
    <w:rsid w:val="00EB48BE"/>
    <w:rsid w:val="00EB54CD"/>
    <w:rsid w:val="00EB67C7"/>
    <w:rsid w:val="00EC23E5"/>
    <w:rsid w:val="00EC26FE"/>
    <w:rsid w:val="00EC305B"/>
    <w:rsid w:val="00EC357B"/>
    <w:rsid w:val="00EC35F0"/>
    <w:rsid w:val="00EC404F"/>
    <w:rsid w:val="00EC523E"/>
    <w:rsid w:val="00EC5CD3"/>
    <w:rsid w:val="00EC6824"/>
    <w:rsid w:val="00EC6BCE"/>
    <w:rsid w:val="00EC7C93"/>
    <w:rsid w:val="00ED1C85"/>
    <w:rsid w:val="00ED20A1"/>
    <w:rsid w:val="00ED285B"/>
    <w:rsid w:val="00ED3A3E"/>
    <w:rsid w:val="00ED3F3A"/>
    <w:rsid w:val="00ED4D5A"/>
    <w:rsid w:val="00ED7361"/>
    <w:rsid w:val="00EE1525"/>
    <w:rsid w:val="00EE1B53"/>
    <w:rsid w:val="00EE1D25"/>
    <w:rsid w:val="00EE3653"/>
    <w:rsid w:val="00EE616D"/>
    <w:rsid w:val="00EE6E4A"/>
    <w:rsid w:val="00EE7833"/>
    <w:rsid w:val="00EE7FC5"/>
    <w:rsid w:val="00EF0A38"/>
    <w:rsid w:val="00EF10D5"/>
    <w:rsid w:val="00EF2609"/>
    <w:rsid w:val="00EF2943"/>
    <w:rsid w:val="00EF5784"/>
    <w:rsid w:val="00EF723C"/>
    <w:rsid w:val="00EF799B"/>
    <w:rsid w:val="00EF7A72"/>
    <w:rsid w:val="00F00726"/>
    <w:rsid w:val="00F010BE"/>
    <w:rsid w:val="00F01461"/>
    <w:rsid w:val="00F0265F"/>
    <w:rsid w:val="00F03467"/>
    <w:rsid w:val="00F035CC"/>
    <w:rsid w:val="00F03AD3"/>
    <w:rsid w:val="00F066B3"/>
    <w:rsid w:val="00F06722"/>
    <w:rsid w:val="00F07C6F"/>
    <w:rsid w:val="00F114C6"/>
    <w:rsid w:val="00F12A47"/>
    <w:rsid w:val="00F13A1E"/>
    <w:rsid w:val="00F13B70"/>
    <w:rsid w:val="00F140F1"/>
    <w:rsid w:val="00F1481E"/>
    <w:rsid w:val="00F1626A"/>
    <w:rsid w:val="00F178A2"/>
    <w:rsid w:val="00F17A3B"/>
    <w:rsid w:val="00F20344"/>
    <w:rsid w:val="00F2406E"/>
    <w:rsid w:val="00F240B6"/>
    <w:rsid w:val="00F27545"/>
    <w:rsid w:val="00F303B5"/>
    <w:rsid w:val="00F306D0"/>
    <w:rsid w:val="00F32147"/>
    <w:rsid w:val="00F32916"/>
    <w:rsid w:val="00F3695D"/>
    <w:rsid w:val="00F40B12"/>
    <w:rsid w:val="00F40B1E"/>
    <w:rsid w:val="00F41F31"/>
    <w:rsid w:val="00F4252D"/>
    <w:rsid w:val="00F42D15"/>
    <w:rsid w:val="00F4568E"/>
    <w:rsid w:val="00F47731"/>
    <w:rsid w:val="00F47863"/>
    <w:rsid w:val="00F51EC7"/>
    <w:rsid w:val="00F52B50"/>
    <w:rsid w:val="00F52D74"/>
    <w:rsid w:val="00F5374A"/>
    <w:rsid w:val="00F539DA"/>
    <w:rsid w:val="00F53E35"/>
    <w:rsid w:val="00F53EB1"/>
    <w:rsid w:val="00F555B8"/>
    <w:rsid w:val="00F57074"/>
    <w:rsid w:val="00F6094D"/>
    <w:rsid w:val="00F61A4C"/>
    <w:rsid w:val="00F62F49"/>
    <w:rsid w:val="00F63AC0"/>
    <w:rsid w:val="00F63C68"/>
    <w:rsid w:val="00F65172"/>
    <w:rsid w:val="00F66A54"/>
    <w:rsid w:val="00F6786A"/>
    <w:rsid w:val="00F67EA7"/>
    <w:rsid w:val="00F76052"/>
    <w:rsid w:val="00F76AD7"/>
    <w:rsid w:val="00F76C59"/>
    <w:rsid w:val="00F77C35"/>
    <w:rsid w:val="00F80DBD"/>
    <w:rsid w:val="00F81401"/>
    <w:rsid w:val="00F8249F"/>
    <w:rsid w:val="00F82626"/>
    <w:rsid w:val="00F8333B"/>
    <w:rsid w:val="00F900BA"/>
    <w:rsid w:val="00F90A72"/>
    <w:rsid w:val="00F91600"/>
    <w:rsid w:val="00F91634"/>
    <w:rsid w:val="00F9539C"/>
    <w:rsid w:val="00F96DB6"/>
    <w:rsid w:val="00F9756B"/>
    <w:rsid w:val="00FA0843"/>
    <w:rsid w:val="00FA0F53"/>
    <w:rsid w:val="00FA2066"/>
    <w:rsid w:val="00FA206E"/>
    <w:rsid w:val="00FA2ACB"/>
    <w:rsid w:val="00FA2DB3"/>
    <w:rsid w:val="00FA3DE2"/>
    <w:rsid w:val="00FA5F1A"/>
    <w:rsid w:val="00FA6555"/>
    <w:rsid w:val="00FA6F9C"/>
    <w:rsid w:val="00FB049A"/>
    <w:rsid w:val="00FB33A3"/>
    <w:rsid w:val="00FB3C0D"/>
    <w:rsid w:val="00FB4794"/>
    <w:rsid w:val="00FB7256"/>
    <w:rsid w:val="00FB74ED"/>
    <w:rsid w:val="00FB78FB"/>
    <w:rsid w:val="00FC0B35"/>
    <w:rsid w:val="00FC191F"/>
    <w:rsid w:val="00FC2810"/>
    <w:rsid w:val="00FC3148"/>
    <w:rsid w:val="00FC55F2"/>
    <w:rsid w:val="00FC6500"/>
    <w:rsid w:val="00FC69A8"/>
    <w:rsid w:val="00FC707D"/>
    <w:rsid w:val="00FD0EE1"/>
    <w:rsid w:val="00FD10D8"/>
    <w:rsid w:val="00FD170C"/>
    <w:rsid w:val="00FD1CC9"/>
    <w:rsid w:val="00FD2B1A"/>
    <w:rsid w:val="00FD4E4E"/>
    <w:rsid w:val="00FD5567"/>
    <w:rsid w:val="00FD60A4"/>
    <w:rsid w:val="00FD675A"/>
    <w:rsid w:val="00FD7762"/>
    <w:rsid w:val="00FE009E"/>
    <w:rsid w:val="00FE4D6A"/>
    <w:rsid w:val="00FE686C"/>
    <w:rsid w:val="00FE6872"/>
    <w:rsid w:val="00FE68A8"/>
    <w:rsid w:val="00FF1593"/>
    <w:rsid w:val="00FF1A01"/>
    <w:rsid w:val="00FF2816"/>
    <w:rsid w:val="00FF5388"/>
    <w:rsid w:val="00FF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DBE19"/>
  <w15:chartTrackingRefBased/>
  <w15:docId w15:val="{8E3DBBFB-6BE7-45C0-828A-3CD0F85E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5B8"/>
    <w:rPr>
      <w:noProof/>
      <w:sz w:val="24"/>
      <w:szCs w:val="24"/>
      <w:lang w:val="id-ID"/>
    </w:rPr>
  </w:style>
  <w:style w:type="paragraph" w:styleId="Heading1">
    <w:name w:val="heading 1"/>
    <w:basedOn w:val="Normal"/>
    <w:next w:val="Normal"/>
    <w:link w:val="Heading1Char"/>
    <w:uiPriority w:val="99"/>
    <w:qFormat/>
    <w:rsid w:val="00FE68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61A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427DE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36757"/>
    <w:pPr>
      <w:keepNext/>
      <w:tabs>
        <w:tab w:val="num" w:pos="2880"/>
      </w:tabs>
      <w:spacing w:before="240" w:after="60"/>
      <w:ind w:left="2880" w:hanging="720"/>
      <w:outlineLvl w:val="3"/>
    </w:pPr>
    <w:rPr>
      <w:rFonts w:asciiTheme="minorHAnsi" w:eastAsiaTheme="minorEastAsia" w:hAnsiTheme="minorHAnsi" w:cstheme="minorBidi"/>
      <w:b/>
      <w:bCs/>
      <w:noProof w:val="0"/>
      <w:sz w:val="28"/>
      <w:szCs w:val="28"/>
      <w:lang w:val="en-US"/>
    </w:rPr>
  </w:style>
  <w:style w:type="paragraph" w:styleId="Heading5">
    <w:name w:val="heading 5"/>
    <w:basedOn w:val="Normal"/>
    <w:next w:val="Normal"/>
    <w:link w:val="Heading5Char"/>
    <w:uiPriority w:val="9"/>
    <w:semiHidden/>
    <w:unhideWhenUsed/>
    <w:qFormat/>
    <w:rsid w:val="00E36757"/>
    <w:pPr>
      <w:tabs>
        <w:tab w:val="num" w:pos="3600"/>
      </w:tabs>
      <w:spacing w:before="240" w:after="60"/>
      <w:ind w:left="3600" w:hanging="720"/>
      <w:outlineLvl w:val="4"/>
    </w:pPr>
    <w:rPr>
      <w:rFonts w:asciiTheme="minorHAnsi" w:eastAsiaTheme="minorEastAsia" w:hAnsiTheme="minorHAnsi" w:cstheme="minorBidi"/>
      <w:b/>
      <w:bCs/>
      <w:i/>
      <w:iCs/>
      <w:noProof w:val="0"/>
      <w:sz w:val="26"/>
      <w:szCs w:val="26"/>
      <w:lang w:val="en-US"/>
    </w:rPr>
  </w:style>
  <w:style w:type="paragraph" w:styleId="Heading6">
    <w:name w:val="heading 6"/>
    <w:basedOn w:val="Normal"/>
    <w:next w:val="Normal"/>
    <w:link w:val="Heading6Char"/>
    <w:uiPriority w:val="9"/>
    <w:qFormat/>
    <w:rsid w:val="00E36757"/>
    <w:pPr>
      <w:tabs>
        <w:tab w:val="num" w:pos="4320"/>
      </w:tabs>
      <w:spacing w:before="240" w:after="60"/>
      <w:ind w:left="4320" w:hanging="720"/>
      <w:outlineLvl w:val="5"/>
    </w:pPr>
    <w:rPr>
      <w:b/>
      <w:bCs/>
      <w:noProof w:val="0"/>
      <w:sz w:val="22"/>
      <w:szCs w:val="22"/>
      <w:lang w:val="en-US"/>
    </w:rPr>
  </w:style>
  <w:style w:type="paragraph" w:styleId="Heading7">
    <w:name w:val="heading 7"/>
    <w:basedOn w:val="Normal"/>
    <w:next w:val="Normal"/>
    <w:link w:val="Heading7Char"/>
    <w:uiPriority w:val="9"/>
    <w:unhideWhenUsed/>
    <w:qFormat/>
    <w:rsid w:val="00E36757"/>
    <w:pPr>
      <w:tabs>
        <w:tab w:val="num" w:pos="5040"/>
      </w:tabs>
      <w:spacing w:before="240" w:after="60"/>
      <w:ind w:left="5040" w:hanging="720"/>
      <w:outlineLvl w:val="6"/>
    </w:pPr>
    <w:rPr>
      <w:rFonts w:asciiTheme="minorHAnsi" w:eastAsiaTheme="minorEastAsia" w:hAnsiTheme="minorHAnsi" w:cstheme="minorBidi"/>
      <w:noProof w:val="0"/>
      <w:lang w:val="en-US"/>
    </w:rPr>
  </w:style>
  <w:style w:type="paragraph" w:styleId="Heading8">
    <w:name w:val="heading 8"/>
    <w:basedOn w:val="Normal"/>
    <w:next w:val="Normal"/>
    <w:link w:val="Heading8Char"/>
    <w:uiPriority w:val="9"/>
    <w:unhideWhenUsed/>
    <w:qFormat/>
    <w:rsid w:val="00E36757"/>
    <w:pPr>
      <w:tabs>
        <w:tab w:val="num" w:pos="5760"/>
      </w:tabs>
      <w:spacing w:before="240" w:after="60"/>
      <w:ind w:left="5760" w:hanging="720"/>
      <w:outlineLvl w:val="7"/>
    </w:pPr>
    <w:rPr>
      <w:rFonts w:asciiTheme="minorHAnsi" w:eastAsiaTheme="minorEastAsia" w:hAnsiTheme="minorHAnsi" w:cstheme="minorBidi"/>
      <w:i/>
      <w:iCs/>
      <w:noProof w:val="0"/>
      <w:lang w:val="en-US"/>
    </w:rPr>
  </w:style>
  <w:style w:type="paragraph" w:styleId="Heading9">
    <w:name w:val="heading 9"/>
    <w:basedOn w:val="Normal"/>
    <w:next w:val="Normal"/>
    <w:link w:val="Heading9Char"/>
    <w:uiPriority w:val="9"/>
    <w:unhideWhenUsed/>
    <w:qFormat/>
    <w:rsid w:val="00E36757"/>
    <w:pPr>
      <w:tabs>
        <w:tab w:val="num" w:pos="6480"/>
      </w:tabs>
      <w:spacing w:before="240" w:after="60"/>
      <w:ind w:left="6480" w:hanging="720"/>
      <w:outlineLvl w:val="8"/>
    </w:pPr>
    <w:rPr>
      <w:rFonts w:asciiTheme="majorHAnsi" w:eastAsiaTheme="majorEastAsia" w:hAnsiTheme="majorHAnsi" w:cstheme="majorBidi"/>
      <w:noProof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E6872"/>
    <w:rPr>
      <w:rFonts w:ascii="Cambria" w:eastAsia="Times New Roman" w:hAnsi="Cambria" w:cs="Times New Roman"/>
      <w:b/>
      <w:bCs/>
      <w:color w:val="365F91"/>
      <w:sz w:val="28"/>
      <w:szCs w:val="28"/>
      <w:lang w:val="en-US" w:eastAsia="en-US"/>
    </w:rPr>
  </w:style>
  <w:style w:type="character" w:customStyle="1" w:styleId="Heading2Char">
    <w:name w:val="Heading 2 Char"/>
    <w:link w:val="Heading2"/>
    <w:uiPriority w:val="9"/>
    <w:rsid w:val="00F61A4C"/>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427DE4"/>
    <w:rPr>
      <w:rFonts w:asciiTheme="majorHAnsi" w:eastAsiaTheme="majorEastAsia" w:hAnsiTheme="majorHAnsi" w:cstheme="majorBidi"/>
      <w:noProof/>
      <w:color w:val="1F4D78" w:themeColor="accent1" w:themeShade="7F"/>
      <w:sz w:val="24"/>
      <w:szCs w:val="24"/>
      <w:lang w:val="id-ID"/>
    </w:rPr>
  </w:style>
  <w:style w:type="character" w:customStyle="1" w:styleId="Heading4Char">
    <w:name w:val="Heading 4 Char"/>
    <w:basedOn w:val="DefaultParagraphFont"/>
    <w:link w:val="Heading4"/>
    <w:rsid w:val="00E367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367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E36757"/>
    <w:rPr>
      <w:b/>
      <w:bCs/>
      <w:sz w:val="22"/>
      <w:szCs w:val="22"/>
    </w:rPr>
  </w:style>
  <w:style w:type="character" w:customStyle="1" w:styleId="Heading7Char">
    <w:name w:val="Heading 7 Char"/>
    <w:basedOn w:val="DefaultParagraphFont"/>
    <w:link w:val="Heading7"/>
    <w:uiPriority w:val="9"/>
    <w:rsid w:val="00E3675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3675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36757"/>
    <w:rPr>
      <w:rFonts w:asciiTheme="majorHAnsi" w:eastAsiaTheme="majorEastAsia" w:hAnsiTheme="majorHAnsi" w:cstheme="majorBidi"/>
      <w:sz w:val="22"/>
      <w:szCs w:val="22"/>
    </w:rPr>
  </w:style>
  <w:style w:type="paragraph" w:styleId="BodyText3">
    <w:name w:val="Body Text 3"/>
    <w:basedOn w:val="Normal"/>
    <w:link w:val="BodyText3Char"/>
    <w:uiPriority w:val="99"/>
    <w:rsid w:val="00056F01"/>
    <w:pPr>
      <w:spacing w:line="360" w:lineRule="auto"/>
      <w:jc w:val="right"/>
    </w:pPr>
    <w:rPr>
      <w:sz w:val="16"/>
      <w:szCs w:val="16"/>
      <w:lang w:val="x-none" w:eastAsia="x-none"/>
    </w:rPr>
  </w:style>
  <w:style w:type="character" w:customStyle="1" w:styleId="BodyText3Char">
    <w:name w:val="Body Text 3 Char"/>
    <w:link w:val="BodyText3"/>
    <w:uiPriority w:val="99"/>
    <w:locked/>
    <w:rPr>
      <w:rFonts w:cs="Times New Roman"/>
      <w:sz w:val="16"/>
      <w:szCs w:val="16"/>
    </w:rPr>
  </w:style>
  <w:style w:type="table" w:styleId="TableGrid">
    <w:name w:val="Table Grid"/>
    <w:basedOn w:val="TableNormal"/>
    <w:uiPriority w:val="59"/>
    <w:rsid w:val="0005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C46BD"/>
    <w:pPr>
      <w:spacing w:after="120"/>
    </w:pPr>
    <w:rPr>
      <w:lang w:val="x-none" w:eastAsia="x-none"/>
    </w:rPr>
  </w:style>
  <w:style w:type="character" w:customStyle="1" w:styleId="BodyTextChar">
    <w:name w:val="Body Text Char"/>
    <w:link w:val="BodyText"/>
    <w:uiPriority w:val="99"/>
    <w:locked/>
    <w:rsid w:val="0006418A"/>
    <w:rPr>
      <w:rFonts w:cs="Times New Roman"/>
      <w:sz w:val="24"/>
      <w:szCs w:val="24"/>
    </w:rPr>
  </w:style>
  <w:style w:type="paragraph" w:styleId="BodyTextIndent2">
    <w:name w:val="Body Text Indent 2"/>
    <w:basedOn w:val="Normal"/>
    <w:link w:val="BodyTextIndent2Char"/>
    <w:uiPriority w:val="99"/>
    <w:rsid w:val="00BC46BD"/>
    <w:pPr>
      <w:spacing w:after="120" w:line="480" w:lineRule="auto"/>
      <w:ind w:left="283"/>
    </w:pPr>
    <w:rPr>
      <w:lang w:val="x-none" w:eastAsia="x-none"/>
    </w:rPr>
  </w:style>
  <w:style w:type="character" w:customStyle="1" w:styleId="BodyTextIndent2Char">
    <w:name w:val="Body Text Indent 2 Char"/>
    <w:link w:val="BodyTextIndent2"/>
    <w:uiPriority w:val="99"/>
    <w:locked/>
    <w:rPr>
      <w:rFonts w:cs="Times New Roman"/>
      <w:sz w:val="24"/>
      <w:szCs w:val="24"/>
    </w:rPr>
  </w:style>
  <w:style w:type="paragraph" w:styleId="BodyTextIndent">
    <w:name w:val="Body Text Indent"/>
    <w:basedOn w:val="Normal"/>
    <w:link w:val="BodyTextIndentChar"/>
    <w:uiPriority w:val="99"/>
    <w:rsid w:val="00BA3366"/>
    <w:pPr>
      <w:spacing w:after="120"/>
      <w:ind w:left="283"/>
    </w:pPr>
    <w:rPr>
      <w:lang w:val="x-none" w:eastAsia="x-none"/>
    </w:rPr>
  </w:style>
  <w:style w:type="character" w:customStyle="1" w:styleId="BodyTextIndentChar">
    <w:name w:val="Body Text Indent Char"/>
    <w:link w:val="BodyTextIndent"/>
    <w:uiPriority w:val="99"/>
    <w:locked/>
    <w:rPr>
      <w:rFonts w:cs="Times New Roman"/>
      <w:sz w:val="24"/>
      <w:szCs w:val="24"/>
    </w:rPr>
  </w:style>
  <w:style w:type="paragraph" w:styleId="Footer">
    <w:name w:val="footer"/>
    <w:basedOn w:val="Normal"/>
    <w:link w:val="FooterChar"/>
    <w:uiPriority w:val="99"/>
    <w:rsid w:val="00017B05"/>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rsid w:val="00017B05"/>
    <w:rPr>
      <w:rFonts w:cs="Times New Roman"/>
    </w:rPr>
  </w:style>
  <w:style w:type="paragraph" w:styleId="BodyTextIndent3">
    <w:name w:val="Body Text Indent 3"/>
    <w:basedOn w:val="Normal"/>
    <w:link w:val="BodyTextIndent3Char"/>
    <w:rsid w:val="007C64D8"/>
    <w:pPr>
      <w:spacing w:after="120"/>
      <w:ind w:left="283"/>
    </w:pPr>
    <w:rPr>
      <w:sz w:val="16"/>
      <w:szCs w:val="16"/>
      <w:lang w:val="x-none" w:eastAsia="x-none"/>
    </w:rPr>
  </w:style>
  <w:style w:type="character" w:customStyle="1" w:styleId="BodyTextIndent3Char">
    <w:name w:val="Body Text Indent 3 Char"/>
    <w:link w:val="BodyTextIndent3"/>
    <w:locked/>
    <w:rPr>
      <w:rFonts w:cs="Times New Roman"/>
      <w:sz w:val="16"/>
      <w:szCs w:val="16"/>
    </w:rPr>
  </w:style>
  <w:style w:type="paragraph" w:styleId="Subtitle">
    <w:name w:val="Subtitle"/>
    <w:basedOn w:val="Normal"/>
    <w:link w:val="SubtitleChar"/>
    <w:uiPriority w:val="11"/>
    <w:qFormat/>
    <w:rsid w:val="007C64D8"/>
    <w:pPr>
      <w:spacing w:line="360" w:lineRule="auto"/>
      <w:jc w:val="center"/>
    </w:pPr>
    <w:rPr>
      <w:rFonts w:ascii="Cambria" w:hAnsi="Cambria"/>
      <w:lang w:val="x-none" w:eastAsia="x-none"/>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Header">
    <w:name w:val="header"/>
    <w:basedOn w:val="Normal"/>
    <w:link w:val="HeaderChar"/>
    <w:uiPriority w:val="99"/>
    <w:rsid w:val="007A5E9A"/>
    <w:pPr>
      <w:tabs>
        <w:tab w:val="center" w:pos="4320"/>
        <w:tab w:val="right" w:pos="8640"/>
      </w:tabs>
    </w:pPr>
    <w:rPr>
      <w:lang w:val="x-none" w:eastAsia="x-none"/>
    </w:rPr>
  </w:style>
  <w:style w:type="character" w:customStyle="1" w:styleId="HeaderChar">
    <w:name w:val="Header Char"/>
    <w:link w:val="Header"/>
    <w:uiPriority w:val="99"/>
    <w:locked/>
    <w:rPr>
      <w:rFonts w:cs="Times New Roman"/>
      <w:sz w:val="24"/>
      <w:szCs w:val="24"/>
    </w:rPr>
  </w:style>
  <w:style w:type="paragraph" w:styleId="Title">
    <w:name w:val="Title"/>
    <w:basedOn w:val="Normal"/>
    <w:link w:val="TitleChar"/>
    <w:qFormat/>
    <w:rsid w:val="002973CB"/>
    <w:pPr>
      <w:spacing w:line="360" w:lineRule="auto"/>
      <w:jc w:val="center"/>
    </w:pPr>
    <w:rPr>
      <w:b/>
      <w:sz w:val="28"/>
      <w:szCs w:val="20"/>
      <w:lang w:val="x-none" w:eastAsia="x-none"/>
    </w:rPr>
  </w:style>
  <w:style w:type="character" w:customStyle="1" w:styleId="TitleChar">
    <w:name w:val="Title Char"/>
    <w:link w:val="Title"/>
    <w:locked/>
    <w:rsid w:val="002973CB"/>
    <w:rPr>
      <w:rFonts w:cs="Times New Roman"/>
      <w:b/>
      <w:sz w:val="28"/>
    </w:rPr>
  </w:style>
  <w:style w:type="paragraph" w:styleId="BalloonText">
    <w:name w:val="Balloon Text"/>
    <w:basedOn w:val="Normal"/>
    <w:link w:val="BalloonTextChar"/>
    <w:uiPriority w:val="99"/>
    <w:unhideWhenUsed/>
    <w:rsid w:val="0006418A"/>
    <w:rPr>
      <w:rFonts w:ascii="Tahoma" w:hAnsi="Tahoma"/>
      <w:sz w:val="16"/>
      <w:szCs w:val="16"/>
      <w:lang w:val="x-none" w:eastAsia="x-none"/>
    </w:rPr>
  </w:style>
  <w:style w:type="character" w:customStyle="1" w:styleId="BalloonTextChar">
    <w:name w:val="Balloon Text Char"/>
    <w:link w:val="BalloonText"/>
    <w:uiPriority w:val="99"/>
    <w:locked/>
    <w:rsid w:val="0006418A"/>
    <w:rPr>
      <w:rFonts w:ascii="Tahoma" w:hAnsi="Tahoma" w:cs="Tahoma"/>
      <w:sz w:val="16"/>
      <w:szCs w:val="16"/>
    </w:rPr>
  </w:style>
  <w:style w:type="paragraph" w:styleId="ListParagraph">
    <w:name w:val="List Paragraph"/>
    <w:aliases w:val="Heading 2 Char1,Char Char,List Paragraph1,heading 4,judul,Title Proposal,Heading 1 Char1,UGEX'Z,spasi 2 taiiii,Body of text,kepala"/>
    <w:basedOn w:val="Normal"/>
    <w:link w:val="ListParagraphChar"/>
    <w:uiPriority w:val="34"/>
    <w:qFormat/>
    <w:rsid w:val="00BA0D5F"/>
    <w:pPr>
      <w:ind w:left="720"/>
      <w:contextualSpacing/>
    </w:pPr>
  </w:style>
  <w:style w:type="character" w:customStyle="1" w:styleId="ListParagraphChar">
    <w:name w:val="List Paragraph Char"/>
    <w:aliases w:val="Heading 2 Char1 Char,Char Char Char,List Paragraph1 Char,heading 4 Char,judul Char,Title Proposal Char,Heading 1 Char1 Char,UGEX'Z Char,spasi 2 taiiii Char,Body of text Char,kepala Char"/>
    <w:link w:val="ListParagraph"/>
    <w:uiPriority w:val="34"/>
    <w:qFormat/>
    <w:rsid w:val="002F3CC2"/>
    <w:rPr>
      <w:sz w:val="24"/>
      <w:szCs w:val="24"/>
    </w:rPr>
  </w:style>
  <w:style w:type="character" w:styleId="Hyperlink">
    <w:name w:val="Hyperlink"/>
    <w:uiPriority w:val="99"/>
    <w:rsid w:val="00503295"/>
    <w:rPr>
      <w:rFonts w:cs="Times New Roman"/>
      <w:color w:val="0000FF"/>
      <w:u w:val="single"/>
    </w:rPr>
  </w:style>
  <w:style w:type="paragraph" w:customStyle="1" w:styleId="NormalArial">
    <w:name w:val="Normal + Arial"/>
    <w:aliases w:val="11 pt,Bold,Centered,Line spacing:  normal"/>
    <w:basedOn w:val="Normal"/>
    <w:rsid w:val="00002F9F"/>
    <w:pPr>
      <w:spacing w:line="276" w:lineRule="auto"/>
      <w:jc w:val="center"/>
    </w:pPr>
    <w:rPr>
      <w:rFonts w:ascii="Arial" w:hAnsi="Arial" w:cs="Arial"/>
      <w:b/>
      <w:sz w:val="22"/>
      <w:szCs w:val="22"/>
    </w:rPr>
  </w:style>
  <w:style w:type="character" w:customStyle="1" w:styleId="shorttext">
    <w:name w:val="short_text"/>
    <w:basedOn w:val="DefaultParagraphFont"/>
    <w:rsid w:val="007A38DC"/>
  </w:style>
  <w:style w:type="paragraph" w:customStyle="1" w:styleId="Alenia">
    <w:name w:val="Alenia"/>
    <w:basedOn w:val="BodyText2"/>
    <w:autoRedefine/>
    <w:uiPriority w:val="99"/>
    <w:rsid w:val="00424608"/>
    <w:pPr>
      <w:autoSpaceDE w:val="0"/>
      <w:autoSpaceDN w:val="0"/>
      <w:spacing w:after="0"/>
      <w:ind w:firstLine="810"/>
      <w:jc w:val="both"/>
    </w:pPr>
    <w:rPr>
      <w:rFonts w:ascii="Arial" w:hAnsi="Arial" w:cs="Arial"/>
      <w:color w:val="000000"/>
      <w:sz w:val="22"/>
      <w:szCs w:val="22"/>
      <w:lang w:val="id-ID"/>
    </w:rPr>
  </w:style>
  <w:style w:type="paragraph" w:styleId="BodyText2">
    <w:name w:val="Body Text 2"/>
    <w:basedOn w:val="Normal"/>
    <w:link w:val="BodyText2Char"/>
    <w:unhideWhenUsed/>
    <w:rsid w:val="00424608"/>
    <w:pPr>
      <w:spacing w:after="120" w:line="480" w:lineRule="auto"/>
    </w:pPr>
    <w:rPr>
      <w:lang w:val="x-none" w:eastAsia="x-none"/>
    </w:rPr>
  </w:style>
  <w:style w:type="character" w:customStyle="1" w:styleId="BodyText2Char">
    <w:name w:val="Body Text 2 Char"/>
    <w:link w:val="BodyText2"/>
    <w:rsid w:val="00424608"/>
    <w:rPr>
      <w:sz w:val="24"/>
      <w:szCs w:val="24"/>
    </w:rPr>
  </w:style>
  <w:style w:type="character" w:customStyle="1" w:styleId="longtext">
    <w:name w:val="long_text"/>
    <w:basedOn w:val="DefaultParagraphFont"/>
    <w:rsid w:val="00121449"/>
  </w:style>
  <w:style w:type="character" w:customStyle="1" w:styleId="mediumtext">
    <w:name w:val="medium_text"/>
    <w:basedOn w:val="DefaultParagraphFont"/>
    <w:rsid w:val="00E24F06"/>
  </w:style>
  <w:style w:type="paragraph" w:styleId="PlainText">
    <w:name w:val="Plain Text"/>
    <w:basedOn w:val="Normal"/>
    <w:link w:val="PlainTextChar"/>
    <w:rsid w:val="009C38D0"/>
    <w:pPr>
      <w:suppressAutoHyphens/>
      <w:spacing w:after="200" w:line="276" w:lineRule="auto"/>
    </w:pPr>
    <w:rPr>
      <w:rFonts w:ascii="Courier New" w:eastAsia="Calibri" w:hAnsi="Courier New"/>
      <w:sz w:val="22"/>
      <w:szCs w:val="22"/>
      <w:lang w:val="x-none" w:eastAsia="ar-SA"/>
    </w:rPr>
  </w:style>
  <w:style w:type="character" w:customStyle="1" w:styleId="PlainTextChar">
    <w:name w:val="Plain Text Char"/>
    <w:link w:val="PlainText"/>
    <w:rsid w:val="009C38D0"/>
    <w:rPr>
      <w:rFonts w:ascii="Courier New" w:eastAsia="Calibri" w:hAnsi="Courier New" w:cs="Courier New"/>
      <w:sz w:val="22"/>
      <w:szCs w:val="22"/>
      <w:lang w:eastAsia="ar-SA"/>
    </w:rPr>
  </w:style>
  <w:style w:type="paragraph" w:styleId="NormalWeb">
    <w:name w:val="Normal (Web)"/>
    <w:basedOn w:val="Normal"/>
    <w:uiPriority w:val="99"/>
    <w:rsid w:val="00035707"/>
    <w:pPr>
      <w:spacing w:before="100" w:beforeAutospacing="1" w:after="100" w:afterAutospacing="1"/>
    </w:pPr>
    <w:rPr>
      <w:rFonts w:ascii="MS PGothic" w:eastAsia="MS PGothic" w:cs="MS PGothic"/>
      <w:lang w:eastAsia="ja-JP"/>
    </w:rPr>
  </w:style>
  <w:style w:type="character" w:customStyle="1" w:styleId="hps">
    <w:name w:val="hps"/>
    <w:basedOn w:val="DefaultParagraphFont"/>
    <w:rsid w:val="00D43626"/>
  </w:style>
  <w:style w:type="paragraph" w:customStyle="1" w:styleId="tm12">
    <w:name w:val="tm12"/>
    <w:rsid w:val="00A5158E"/>
    <w:pPr>
      <w:widowControl w:val="0"/>
      <w:suppressAutoHyphens/>
      <w:spacing w:line="360" w:lineRule="auto"/>
      <w:jc w:val="both"/>
    </w:pPr>
    <w:rPr>
      <w:rFonts w:eastAsia="Calibri"/>
      <w:kern w:val="1"/>
      <w:sz w:val="24"/>
      <w:szCs w:val="24"/>
      <w:lang w:eastAsia="ar-SA"/>
    </w:rPr>
  </w:style>
  <w:style w:type="paragraph" w:customStyle="1" w:styleId="SUBJUDUL">
    <w:name w:val="SUB JUDUL"/>
    <w:basedOn w:val="Normal"/>
    <w:link w:val="SUBJUDULChar"/>
    <w:qFormat/>
    <w:rsid w:val="000A37F9"/>
    <w:pPr>
      <w:spacing w:line="360" w:lineRule="auto"/>
      <w:contextualSpacing/>
      <w:jc w:val="center"/>
    </w:pPr>
    <w:rPr>
      <w:rFonts w:eastAsia="Calibri"/>
      <w:b/>
      <w:lang w:eastAsia="x-none"/>
    </w:rPr>
  </w:style>
  <w:style w:type="character" w:customStyle="1" w:styleId="SUBJUDULChar">
    <w:name w:val="SUB JUDUL Char"/>
    <w:link w:val="SUBJUDUL"/>
    <w:rsid w:val="000A37F9"/>
    <w:rPr>
      <w:rFonts w:eastAsia="Calibri"/>
      <w:b/>
      <w:sz w:val="24"/>
      <w:szCs w:val="24"/>
      <w:lang w:val="id-ID"/>
    </w:rPr>
  </w:style>
  <w:style w:type="paragraph" w:customStyle="1" w:styleId="SUBSUBJUDUL">
    <w:name w:val="SUB SUB JUDUL"/>
    <w:basedOn w:val="Normal"/>
    <w:link w:val="SUBSUBJUDULChar"/>
    <w:qFormat/>
    <w:rsid w:val="000A37F9"/>
    <w:pPr>
      <w:spacing w:line="360" w:lineRule="auto"/>
      <w:contextualSpacing/>
      <w:jc w:val="both"/>
    </w:pPr>
    <w:rPr>
      <w:rFonts w:eastAsia="Calibri"/>
      <w:b/>
      <w:lang w:val="x-none" w:eastAsia="x-none"/>
    </w:rPr>
  </w:style>
  <w:style w:type="character" w:customStyle="1" w:styleId="SUBSUBJUDULChar">
    <w:name w:val="SUB SUB JUDUL Char"/>
    <w:link w:val="SUBSUBJUDUL"/>
    <w:rsid w:val="000A37F9"/>
    <w:rPr>
      <w:rFonts w:eastAsia="Calibri"/>
      <w:b/>
      <w:sz w:val="24"/>
      <w:szCs w:val="24"/>
    </w:rPr>
  </w:style>
  <w:style w:type="paragraph" w:customStyle="1" w:styleId="Default">
    <w:name w:val="Default"/>
    <w:link w:val="DefaultChar"/>
    <w:rsid w:val="003D6E9A"/>
    <w:pPr>
      <w:autoSpaceDE w:val="0"/>
      <w:autoSpaceDN w:val="0"/>
      <w:adjustRightInd w:val="0"/>
    </w:pPr>
    <w:rPr>
      <w:rFonts w:eastAsia="Calibri"/>
      <w:color w:val="000000"/>
      <w:sz w:val="24"/>
      <w:szCs w:val="24"/>
    </w:rPr>
  </w:style>
  <w:style w:type="character" w:customStyle="1" w:styleId="DefaultChar">
    <w:name w:val="Default Char"/>
    <w:basedOn w:val="DefaultParagraphFont"/>
    <w:link w:val="Default"/>
    <w:rsid w:val="00E36757"/>
    <w:rPr>
      <w:rFonts w:eastAsia="Calibri"/>
      <w:color w:val="000000"/>
      <w:sz w:val="24"/>
      <w:szCs w:val="24"/>
    </w:rPr>
  </w:style>
  <w:style w:type="paragraph" w:styleId="NoSpacing">
    <w:name w:val="No Spacing"/>
    <w:link w:val="NoSpacingChar"/>
    <w:uiPriority w:val="1"/>
    <w:qFormat/>
    <w:rsid w:val="00006910"/>
    <w:rPr>
      <w:sz w:val="24"/>
      <w:szCs w:val="24"/>
    </w:rPr>
  </w:style>
  <w:style w:type="character" w:customStyle="1" w:styleId="apple-style-span">
    <w:name w:val="apple-style-span"/>
    <w:rsid w:val="004F0120"/>
  </w:style>
  <w:style w:type="paragraph" w:customStyle="1" w:styleId="BodyTextIndent21">
    <w:name w:val="Body Text Indent 2+1"/>
    <w:basedOn w:val="Default"/>
    <w:next w:val="Default"/>
    <w:uiPriority w:val="99"/>
    <w:rsid w:val="00CA0A99"/>
    <w:rPr>
      <w:rFonts w:eastAsia="SimSun"/>
      <w:color w:val="auto"/>
      <w:lang w:val="id-ID" w:eastAsia="zh-CN"/>
    </w:rPr>
  </w:style>
  <w:style w:type="character" w:styleId="Emphasis">
    <w:name w:val="Emphasis"/>
    <w:uiPriority w:val="20"/>
    <w:qFormat/>
    <w:rsid w:val="002961D9"/>
    <w:rPr>
      <w:i/>
      <w:iCs/>
    </w:rPr>
  </w:style>
  <w:style w:type="character" w:customStyle="1" w:styleId="alt-edited">
    <w:name w:val="alt-edited"/>
    <w:rsid w:val="00B654E3"/>
  </w:style>
  <w:style w:type="paragraph" w:styleId="Caption">
    <w:name w:val="caption"/>
    <w:aliases w:val="Gambar dan Tabel"/>
    <w:basedOn w:val="Normal"/>
    <w:next w:val="Normal"/>
    <w:link w:val="CaptionChar"/>
    <w:uiPriority w:val="35"/>
    <w:unhideWhenUsed/>
    <w:qFormat/>
    <w:rsid w:val="00F61A4C"/>
    <w:pPr>
      <w:spacing w:after="200" w:line="276" w:lineRule="auto"/>
    </w:pPr>
    <w:rPr>
      <w:rFonts w:eastAsia="Calibri" w:cs="Arial"/>
      <w:b/>
      <w:bCs/>
      <w:szCs w:val="20"/>
    </w:rPr>
  </w:style>
  <w:style w:type="character" w:customStyle="1" w:styleId="CaptionChar">
    <w:name w:val="Caption Char"/>
    <w:aliases w:val="Gambar dan Tabel Char"/>
    <w:basedOn w:val="DefaultParagraphFont"/>
    <w:link w:val="Caption"/>
    <w:uiPriority w:val="35"/>
    <w:rsid w:val="00E36757"/>
    <w:rPr>
      <w:rFonts w:eastAsia="Calibri" w:cs="Arial"/>
      <w:b/>
      <w:bCs/>
      <w:noProof/>
      <w:sz w:val="24"/>
      <w:lang w:val="id-ID"/>
    </w:rPr>
  </w:style>
  <w:style w:type="table" w:styleId="LightShading">
    <w:name w:val="Light Shading"/>
    <w:basedOn w:val="TableNormal"/>
    <w:uiPriority w:val="60"/>
    <w:rsid w:val="00F61A4C"/>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C950E1"/>
  </w:style>
  <w:style w:type="character" w:styleId="CommentReference">
    <w:name w:val="annotation reference"/>
    <w:uiPriority w:val="99"/>
    <w:semiHidden/>
    <w:unhideWhenUsed/>
    <w:rsid w:val="00A32EA1"/>
    <w:rPr>
      <w:sz w:val="16"/>
      <w:szCs w:val="16"/>
    </w:rPr>
  </w:style>
  <w:style w:type="paragraph" w:styleId="CommentText">
    <w:name w:val="annotation text"/>
    <w:basedOn w:val="Normal"/>
    <w:link w:val="CommentTextChar"/>
    <w:uiPriority w:val="99"/>
    <w:semiHidden/>
    <w:unhideWhenUsed/>
    <w:rsid w:val="00A32EA1"/>
    <w:rPr>
      <w:sz w:val="20"/>
      <w:szCs w:val="20"/>
    </w:rPr>
  </w:style>
  <w:style w:type="character" w:customStyle="1" w:styleId="CommentTextChar">
    <w:name w:val="Comment Text Char"/>
    <w:basedOn w:val="DefaultParagraphFont"/>
    <w:link w:val="CommentText"/>
    <w:uiPriority w:val="99"/>
    <w:semiHidden/>
    <w:rsid w:val="00A32EA1"/>
  </w:style>
  <w:style w:type="paragraph" w:styleId="CommentSubject">
    <w:name w:val="annotation subject"/>
    <w:basedOn w:val="CommentText"/>
    <w:next w:val="CommentText"/>
    <w:link w:val="CommentSubjectChar"/>
    <w:uiPriority w:val="99"/>
    <w:semiHidden/>
    <w:unhideWhenUsed/>
    <w:rsid w:val="00A32EA1"/>
    <w:rPr>
      <w:b/>
      <w:bCs/>
    </w:rPr>
  </w:style>
  <w:style w:type="character" w:customStyle="1" w:styleId="CommentSubjectChar">
    <w:name w:val="Comment Subject Char"/>
    <w:link w:val="CommentSubject"/>
    <w:uiPriority w:val="99"/>
    <w:semiHidden/>
    <w:rsid w:val="00A32EA1"/>
    <w:rPr>
      <w:b/>
      <w:bCs/>
    </w:rPr>
  </w:style>
  <w:style w:type="paragraph" w:styleId="HTMLPreformatted">
    <w:name w:val="HTML Preformatted"/>
    <w:basedOn w:val="Normal"/>
    <w:link w:val="HTMLPreformattedChar"/>
    <w:uiPriority w:val="99"/>
    <w:unhideWhenUsed/>
    <w:rsid w:val="00A32EA1"/>
    <w:rPr>
      <w:rFonts w:ascii="Consolas" w:eastAsia="Calibri" w:hAnsi="Consolas"/>
      <w:sz w:val="20"/>
      <w:szCs w:val="20"/>
      <w:lang w:val="en-SG"/>
    </w:rPr>
  </w:style>
  <w:style w:type="character" w:customStyle="1" w:styleId="HTMLPreformattedChar">
    <w:name w:val="HTML Preformatted Char"/>
    <w:link w:val="HTMLPreformatted"/>
    <w:uiPriority w:val="99"/>
    <w:rsid w:val="00A32EA1"/>
    <w:rPr>
      <w:rFonts w:ascii="Consolas" w:eastAsia="Calibri" w:hAnsi="Consolas"/>
      <w:lang w:val="en-SG"/>
    </w:rPr>
  </w:style>
  <w:style w:type="table" w:customStyle="1" w:styleId="TableGrid1">
    <w:name w:val="Table Grid1"/>
    <w:basedOn w:val="TableNormal"/>
    <w:next w:val="TableGrid"/>
    <w:uiPriority w:val="59"/>
    <w:rsid w:val="00AB5797"/>
    <w:rPr>
      <w:rFonts w:ascii="Calibri" w:eastAsia="Calibri" w:hAnsi="Calibri" w:cs="SimSu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publisher">
    <w:name w:val="li-publisher"/>
    <w:basedOn w:val="DefaultParagraphFont"/>
    <w:rsid w:val="00AD3DC2"/>
  </w:style>
  <w:style w:type="paragraph" w:customStyle="1" w:styleId="Write">
    <w:name w:val="Write"/>
    <w:basedOn w:val="Normal"/>
    <w:qFormat/>
    <w:rsid w:val="00E36757"/>
    <w:pPr>
      <w:spacing w:line="360" w:lineRule="auto"/>
      <w:jc w:val="both"/>
    </w:pPr>
    <w:rPr>
      <w:rFonts w:ascii="Arial" w:eastAsiaTheme="minorHAnsi" w:hAnsi="Arial" w:cstheme="minorBidi"/>
      <w:noProof w:val="0"/>
      <w:sz w:val="22"/>
      <w:szCs w:val="22"/>
      <w:lang w:val="en-US"/>
    </w:rPr>
  </w:style>
  <w:style w:type="paragraph" w:customStyle="1" w:styleId="read-more-target">
    <w:name w:val="read-more-target"/>
    <w:basedOn w:val="Normal"/>
    <w:rsid w:val="00E36757"/>
    <w:pPr>
      <w:spacing w:before="100" w:beforeAutospacing="1" w:after="100" w:afterAutospacing="1"/>
    </w:pPr>
    <w:rPr>
      <w:noProof w:val="0"/>
      <w:lang w:eastAsia="id-ID"/>
    </w:rPr>
  </w:style>
  <w:style w:type="character" w:styleId="Strong">
    <w:name w:val="Strong"/>
    <w:basedOn w:val="DefaultParagraphFont"/>
    <w:uiPriority w:val="22"/>
    <w:qFormat/>
    <w:rsid w:val="00E36757"/>
    <w:rPr>
      <w:b/>
      <w:bCs/>
    </w:rPr>
  </w:style>
  <w:style w:type="character" w:customStyle="1" w:styleId="personname">
    <w:name w:val="person_name"/>
    <w:basedOn w:val="DefaultParagraphFont"/>
    <w:rsid w:val="00E36757"/>
  </w:style>
  <w:style w:type="paragraph" w:customStyle="1" w:styleId="Style1">
    <w:name w:val="Style1"/>
    <w:basedOn w:val="ListParagraph"/>
    <w:link w:val="Style1Char"/>
    <w:rsid w:val="00E36757"/>
    <w:pPr>
      <w:spacing w:line="360" w:lineRule="auto"/>
      <w:ind w:left="567" w:hanging="567"/>
      <w:jc w:val="center"/>
    </w:pPr>
    <w:rPr>
      <w:rFonts w:ascii="Arial" w:eastAsiaTheme="minorHAnsi" w:hAnsi="Arial" w:cs="Arial"/>
      <w:b/>
      <w:noProof w:val="0"/>
      <w:spacing w:val="-1"/>
      <w:sz w:val="22"/>
      <w:szCs w:val="22"/>
      <w:lang w:val="en-US"/>
    </w:rPr>
  </w:style>
  <w:style w:type="character" w:customStyle="1" w:styleId="Style1Char">
    <w:name w:val="Style1 Char"/>
    <w:basedOn w:val="ListParagraphChar"/>
    <w:link w:val="Style1"/>
    <w:rsid w:val="00E36757"/>
    <w:rPr>
      <w:rFonts w:ascii="Arial" w:eastAsiaTheme="minorHAnsi" w:hAnsi="Arial" w:cs="Arial"/>
      <w:b/>
      <w:spacing w:val="-1"/>
      <w:sz w:val="22"/>
      <w:szCs w:val="22"/>
    </w:rPr>
  </w:style>
  <w:style w:type="paragraph" w:customStyle="1" w:styleId="Style2">
    <w:name w:val="Style2"/>
    <w:basedOn w:val="Style1"/>
    <w:link w:val="Style2Char"/>
    <w:rsid w:val="00E36757"/>
  </w:style>
  <w:style w:type="character" w:customStyle="1" w:styleId="Style2Char">
    <w:name w:val="Style2 Char"/>
    <w:basedOn w:val="Style1Char"/>
    <w:link w:val="Style2"/>
    <w:rsid w:val="00E36757"/>
    <w:rPr>
      <w:rFonts w:ascii="Arial" w:eastAsiaTheme="minorHAnsi" w:hAnsi="Arial" w:cs="Arial"/>
      <w:b/>
      <w:spacing w:val="-1"/>
      <w:sz w:val="22"/>
      <w:szCs w:val="22"/>
    </w:rPr>
  </w:style>
  <w:style w:type="paragraph" w:styleId="TOCHeading">
    <w:name w:val="TOC Heading"/>
    <w:basedOn w:val="Heading1"/>
    <w:next w:val="Normal"/>
    <w:uiPriority w:val="39"/>
    <w:unhideWhenUsed/>
    <w:qFormat/>
    <w:rsid w:val="00E36757"/>
    <w:pPr>
      <w:spacing w:before="240" w:line="259" w:lineRule="auto"/>
      <w:outlineLvl w:val="9"/>
    </w:pPr>
    <w:rPr>
      <w:rFonts w:asciiTheme="majorHAnsi" w:eastAsiaTheme="majorEastAsia" w:hAnsiTheme="majorHAnsi" w:cstheme="majorBidi"/>
      <w:b w:val="0"/>
      <w:bCs w:val="0"/>
      <w:noProof w:val="0"/>
      <w:color w:val="2E74B5" w:themeColor="accent1" w:themeShade="BF"/>
      <w:sz w:val="32"/>
      <w:szCs w:val="32"/>
      <w:lang w:val="en-US"/>
    </w:rPr>
  </w:style>
  <w:style w:type="paragraph" w:styleId="TOC1">
    <w:name w:val="toc 1"/>
    <w:basedOn w:val="Normal"/>
    <w:next w:val="Normal"/>
    <w:autoRedefine/>
    <w:uiPriority w:val="39"/>
    <w:unhideWhenUsed/>
    <w:rsid w:val="00E36757"/>
    <w:pPr>
      <w:tabs>
        <w:tab w:val="left" w:pos="567"/>
        <w:tab w:val="right" w:leader="dot" w:pos="8210"/>
      </w:tabs>
      <w:spacing w:after="120" w:line="276" w:lineRule="auto"/>
    </w:pPr>
    <w:rPr>
      <w:rFonts w:ascii="Arial" w:eastAsiaTheme="minorHAnsi" w:hAnsi="Arial" w:cs="Arial"/>
      <w:sz w:val="22"/>
      <w:szCs w:val="22"/>
      <w:lang w:val="en-US"/>
    </w:rPr>
  </w:style>
  <w:style w:type="paragraph" w:customStyle="1" w:styleId="Style3">
    <w:name w:val="Style3"/>
    <w:basedOn w:val="Normal"/>
    <w:link w:val="Style3Char"/>
    <w:rsid w:val="00E36757"/>
    <w:pPr>
      <w:spacing w:before="240" w:line="360" w:lineRule="auto"/>
      <w:jc w:val="both"/>
    </w:pPr>
    <w:rPr>
      <w:rFonts w:ascii="Arial" w:eastAsiaTheme="minorHAnsi" w:hAnsi="Arial" w:cs="Arial"/>
      <w:b/>
      <w:noProof w:val="0"/>
      <w:spacing w:val="5"/>
      <w:sz w:val="22"/>
      <w:szCs w:val="22"/>
    </w:rPr>
  </w:style>
  <w:style w:type="character" w:customStyle="1" w:styleId="Style3Char">
    <w:name w:val="Style3 Char"/>
    <w:basedOn w:val="DefaultParagraphFont"/>
    <w:link w:val="Style3"/>
    <w:rsid w:val="00E36757"/>
    <w:rPr>
      <w:rFonts w:ascii="Arial" w:eastAsiaTheme="minorHAnsi" w:hAnsi="Arial" w:cs="Arial"/>
      <w:b/>
      <w:spacing w:val="5"/>
      <w:sz w:val="22"/>
      <w:szCs w:val="22"/>
      <w:lang w:val="id-ID"/>
    </w:rPr>
  </w:style>
  <w:style w:type="paragraph" w:customStyle="1" w:styleId="Style4">
    <w:name w:val="Style4"/>
    <w:basedOn w:val="Style3"/>
    <w:link w:val="Style4Char"/>
    <w:rsid w:val="00E36757"/>
  </w:style>
  <w:style w:type="character" w:customStyle="1" w:styleId="Style4Char">
    <w:name w:val="Style4 Char"/>
    <w:basedOn w:val="Style3Char"/>
    <w:link w:val="Style4"/>
    <w:rsid w:val="00E36757"/>
    <w:rPr>
      <w:rFonts w:ascii="Arial" w:eastAsiaTheme="minorHAnsi" w:hAnsi="Arial" w:cs="Arial"/>
      <w:b/>
      <w:spacing w:val="5"/>
      <w:sz w:val="22"/>
      <w:szCs w:val="22"/>
      <w:lang w:val="id-ID"/>
    </w:rPr>
  </w:style>
  <w:style w:type="paragraph" w:customStyle="1" w:styleId="Style5">
    <w:name w:val="Style5"/>
    <w:basedOn w:val="Normal"/>
    <w:link w:val="Style5Char"/>
    <w:qFormat/>
    <w:rsid w:val="00E36757"/>
    <w:pPr>
      <w:spacing w:line="360" w:lineRule="auto"/>
      <w:jc w:val="both"/>
    </w:pPr>
    <w:rPr>
      <w:rFonts w:ascii="Arial" w:eastAsiaTheme="minorHAnsi" w:hAnsi="Arial" w:cs="Arial"/>
      <w:b/>
      <w:noProof w:val="0"/>
      <w:sz w:val="22"/>
      <w:szCs w:val="22"/>
    </w:rPr>
  </w:style>
  <w:style w:type="character" w:customStyle="1" w:styleId="Style5Char">
    <w:name w:val="Style5 Char"/>
    <w:basedOn w:val="DefaultParagraphFont"/>
    <w:link w:val="Style5"/>
    <w:rsid w:val="00E36757"/>
    <w:rPr>
      <w:rFonts w:ascii="Arial" w:eastAsiaTheme="minorHAnsi" w:hAnsi="Arial" w:cs="Arial"/>
      <w:b/>
      <w:sz w:val="22"/>
      <w:szCs w:val="22"/>
      <w:lang w:val="id-ID"/>
    </w:rPr>
  </w:style>
  <w:style w:type="paragraph" w:customStyle="1" w:styleId="Style6">
    <w:name w:val="Style6"/>
    <w:basedOn w:val="ListParagraph"/>
    <w:link w:val="Style6Char"/>
    <w:rsid w:val="00E36757"/>
    <w:pPr>
      <w:numPr>
        <w:ilvl w:val="2"/>
        <w:numId w:val="1"/>
      </w:numPr>
      <w:spacing w:before="240" w:line="360" w:lineRule="auto"/>
      <w:outlineLvl w:val="1"/>
    </w:pPr>
    <w:rPr>
      <w:rFonts w:ascii="Arial" w:eastAsiaTheme="minorHAnsi" w:hAnsi="Arial" w:cs="Arial"/>
      <w:b/>
      <w:noProof w:val="0"/>
      <w:sz w:val="22"/>
      <w:szCs w:val="22"/>
      <w:lang w:val="en-US"/>
    </w:rPr>
  </w:style>
  <w:style w:type="character" w:customStyle="1" w:styleId="Style6Char">
    <w:name w:val="Style6 Char"/>
    <w:basedOn w:val="ListParagraphChar"/>
    <w:link w:val="Style6"/>
    <w:rsid w:val="00E36757"/>
    <w:rPr>
      <w:rFonts w:ascii="Arial" w:eastAsiaTheme="minorHAnsi" w:hAnsi="Arial" w:cs="Arial"/>
      <w:b/>
      <w:sz w:val="22"/>
      <w:szCs w:val="22"/>
    </w:rPr>
  </w:style>
  <w:style w:type="paragraph" w:customStyle="1" w:styleId="Style7">
    <w:name w:val="Style7"/>
    <w:basedOn w:val="ListParagraph"/>
    <w:link w:val="Style7Char"/>
    <w:rsid w:val="00E36757"/>
    <w:pPr>
      <w:numPr>
        <w:ilvl w:val="1"/>
        <w:numId w:val="2"/>
      </w:numPr>
      <w:spacing w:before="240" w:line="360" w:lineRule="auto"/>
    </w:pPr>
    <w:rPr>
      <w:rFonts w:ascii="Arial" w:eastAsiaTheme="minorHAnsi" w:hAnsi="Arial" w:cs="Arial"/>
      <w:b/>
      <w:bCs/>
      <w:noProof w:val="0"/>
      <w:sz w:val="22"/>
      <w:szCs w:val="22"/>
      <w:lang w:val="en-US"/>
    </w:rPr>
  </w:style>
  <w:style w:type="character" w:customStyle="1" w:styleId="Style7Char">
    <w:name w:val="Style7 Char"/>
    <w:basedOn w:val="ListParagraphChar"/>
    <w:link w:val="Style7"/>
    <w:rsid w:val="00E36757"/>
    <w:rPr>
      <w:rFonts w:ascii="Arial" w:eastAsiaTheme="minorHAnsi" w:hAnsi="Arial" w:cs="Arial"/>
      <w:b/>
      <w:bCs/>
      <w:sz w:val="22"/>
      <w:szCs w:val="22"/>
    </w:rPr>
  </w:style>
  <w:style w:type="paragraph" w:customStyle="1" w:styleId="Style8">
    <w:name w:val="Style8"/>
    <w:basedOn w:val="Style7"/>
    <w:link w:val="Style8Char"/>
    <w:rsid w:val="00E36757"/>
    <w:pPr>
      <w:numPr>
        <w:ilvl w:val="0"/>
        <w:numId w:val="0"/>
      </w:numPr>
      <w:spacing w:before="0"/>
      <w:ind w:left="567" w:hanging="567"/>
      <w:outlineLvl w:val="1"/>
    </w:pPr>
  </w:style>
  <w:style w:type="character" w:customStyle="1" w:styleId="Style8Char">
    <w:name w:val="Style8 Char"/>
    <w:basedOn w:val="Style7Char"/>
    <w:link w:val="Style8"/>
    <w:rsid w:val="00E36757"/>
    <w:rPr>
      <w:rFonts w:ascii="Arial" w:eastAsiaTheme="minorHAnsi" w:hAnsi="Arial" w:cs="Arial"/>
      <w:b/>
      <w:bCs/>
      <w:sz w:val="22"/>
      <w:szCs w:val="22"/>
    </w:rPr>
  </w:style>
  <w:style w:type="paragraph" w:customStyle="1" w:styleId="Style9">
    <w:name w:val="Style9"/>
    <w:basedOn w:val="Style7"/>
    <w:link w:val="Style9Char"/>
    <w:rsid w:val="00E36757"/>
    <w:pPr>
      <w:numPr>
        <w:ilvl w:val="2"/>
      </w:numPr>
      <w:spacing w:before="120"/>
      <w:outlineLvl w:val="2"/>
    </w:pPr>
  </w:style>
  <w:style w:type="character" w:customStyle="1" w:styleId="Style9Char">
    <w:name w:val="Style9 Char"/>
    <w:basedOn w:val="Style7Char"/>
    <w:link w:val="Style9"/>
    <w:rsid w:val="00E36757"/>
    <w:rPr>
      <w:rFonts w:ascii="Arial" w:eastAsiaTheme="minorHAnsi" w:hAnsi="Arial" w:cs="Arial"/>
      <w:b/>
      <w:bCs/>
      <w:sz w:val="22"/>
      <w:szCs w:val="22"/>
    </w:rPr>
  </w:style>
  <w:style w:type="paragraph" w:customStyle="1" w:styleId="Style10">
    <w:name w:val="Style10"/>
    <w:basedOn w:val="ListParagraph"/>
    <w:link w:val="Style10Char"/>
    <w:rsid w:val="00E36757"/>
    <w:pPr>
      <w:numPr>
        <w:ilvl w:val="1"/>
        <w:numId w:val="3"/>
      </w:numPr>
      <w:spacing w:before="240" w:line="360" w:lineRule="auto"/>
      <w:jc w:val="both"/>
    </w:pPr>
    <w:rPr>
      <w:rFonts w:ascii="Arial" w:eastAsiaTheme="minorHAnsi" w:hAnsi="Arial" w:cs="Arial"/>
      <w:b/>
      <w:noProof w:val="0"/>
      <w:sz w:val="22"/>
      <w:szCs w:val="22"/>
      <w:lang w:val="en-US"/>
    </w:rPr>
  </w:style>
  <w:style w:type="character" w:customStyle="1" w:styleId="Style10Char">
    <w:name w:val="Style10 Char"/>
    <w:basedOn w:val="ListParagraphChar"/>
    <w:link w:val="Style10"/>
    <w:rsid w:val="00E36757"/>
    <w:rPr>
      <w:rFonts w:ascii="Arial" w:eastAsiaTheme="minorHAnsi" w:hAnsi="Arial" w:cs="Arial"/>
      <w:b/>
      <w:sz w:val="22"/>
      <w:szCs w:val="22"/>
    </w:rPr>
  </w:style>
  <w:style w:type="paragraph" w:customStyle="1" w:styleId="Style11">
    <w:name w:val="Style11"/>
    <w:basedOn w:val="ListParagraph"/>
    <w:link w:val="Style11Char"/>
    <w:qFormat/>
    <w:rsid w:val="00E36757"/>
    <w:pPr>
      <w:numPr>
        <w:ilvl w:val="2"/>
        <w:numId w:val="3"/>
      </w:numPr>
      <w:spacing w:before="120" w:line="360" w:lineRule="auto"/>
      <w:jc w:val="both"/>
    </w:pPr>
    <w:rPr>
      <w:rFonts w:ascii="Arial" w:eastAsiaTheme="minorHAnsi" w:hAnsi="Arial" w:cs="Arial"/>
      <w:b/>
      <w:noProof w:val="0"/>
      <w:sz w:val="22"/>
      <w:szCs w:val="22"/>
      <w:lang w:val="en-US"/>
    </w:rPr>
  </w:style>
  <w:style w:type="character" w:customStyle="1" w:styleId="Style11Char">
    <w:name w:val="Style11 Char"/>
    <w:basedOn w:val="ListParagraphChar"/>
    <w:link w:val="Style11"/>
    <w:rsid w:val="00E36757"/>
    <w:rPr>
      <w:rFonts w:ascii="Arial" w:eastAsiaTheme="minorHAnsi" w:hAnsi="Arial" w:cs="Arial"/>
      <w:b/>
      <w:sz w:val="22"/>
      <w:szCs w:val="22"/>
    </w:rPr>
  </w:style>
  <w:style w:type="paragraph" w:customStyle="1" w:styleId="Style12">
    <w:name w:val="Style12"/>
    <w:basedOn w:val="Normal"/>
    <w:link w:val="Style12Char"/>
    <w:qFormat/>
    <w:rsid w:val="00E36757"/>
    <w:pPr>
      <w:spacing w:after="240" w:line="276" w:lineRule="auto"/>
      <w:jc w:val="center"/>
    </w:pPr>
    <w:rPr>
      <w:rFonts w:ascii="Arial" w:eastAsiaTheme="minorHAnsi" w:hAnsi="Arial" w:cs="Arial"/>
      <w:b/>
      <w:noProof w:val="0"/>
      <w:sz w:val="22"/>
      <w:szCs w:val="22"/>
    </w:rPr>
  </w:style>
  <w:style w:type="character" w:customStyle="1" w:styleId="Style12Char">
    <w:name w:val="Style12 Char"/>
    <w:basedOn w:val="DefaultParagraphFont"/>
    <w:link w:val="Style12"/>
    <w:rsid w:val="00E36757"/>
    <w:rPr>
      <w:rFonts w:ascii="Arial" w:eastAsiaTheme="minorHAnsi" w:hAnsi="Arial" w:cs="Arial"/>
      <w:b/>
      <w:sz w:val="22"/>
      <w:szCs w:val="22"/>
      <w:lang w:val="id-ID"/>
    </w:rPr>
  </w:style>
  <w:style w:type="paragraph" w:styleId="TOC2">
    <w:name w:val="toc 2"/>
    <w:basedOn w:val="Normal"/>
    <w:next w:val="Normal"/>
    <w:autoRedefine/>
    <w:uiPriority w:val="39"/>
    <w:unhideWhenUsed/>
    <w:rsid w:val="00E36757"/>
    <w:pPr>
      <w:tabs>
        <w:tab w:val="left" w:pos="880"/>
        <w:tab w:val="right" w:leader="dot" w:pos="8210"/>
      </w:tabs>
      <w:spacing w:after="120" w:line="276" w:lineRule="auto"/>
      <w:ind w:left="720" w:hanging="500"/>
    </w:pPr>
    <w:rPr>
      <w:rFonts w:asciiTheme="minorHAnsi" w:eastAsiaTheme="minorHAnsi" w:hAnsiTheme="minorHAnsi" w:cstheme="minorBidi"/>
      <w:noProof w:val="0"/>
      <w:sz w:val="22"/>
      <w:szCs w:val="22"/>
      <w:lang w:val="en-US"/>
    </w:rPr>
  </w:style>
  <w:style w:type="paragraph" w:styleId="TOC3">
    <w:name w:val="toc 3"/>
    <w:basedOn w:val="Normal"/>
    <w:next w:val="Normal"/>
    <w:autoRedefine/>
    <w:uiPriority w:val="39"/>
    <w:unhideWhenUsed/>
    <w:rsid w:val="00E36757"/>
    <w:pPr>
      <w:tabs>
        <w:tab w:val="left" w:pos="1320"/>
        <w:tab w:val="right" w:leader="dot" w:pos="8210"/>
      </w:tabs>
      <w:spacing w:after="100"/>
      <w:ind w:left="1320" w:hanging="880"/>
    </w:pPr>
    <w:rPr>
      <w:rFonts w:asciiTheme="minorHAnsi" w:eastAsiaTheme="minorHAnsi" w:hAnsiTheme="minorHAnsi" w:cstheme="minorBidi"/>
      <w:noProof w:val="0"/>
      <w:sz w:val="22"/>
      <w:szCs w:val="22"/>
      <w:lang w:val="en-US"/>
    </w:rPr>
  </w:style>
  <w:style w:type="paragraph" w:customStyle="1" w:styleId="msonormal0">
    <w:name w:val="msonormal"/>
    <w:basedOn w:val="Normal"/>
    <w:rsid w:val="00E36757"/>
    <w:pPr>
      <w:spacing w:before="100" w:beforeAutospacing="1" w:after="100" w:afterAutospacing="1"/>
    </w:pPr>
    <w:rPr>
      <w:noProof w:val="0"/>
      <w:lang w:eastAsia="id-ID"/>
    </w:rPr>
  </w:style>
  <w:style w:type="paragraph" w:customStyle="1" w:styleId="xl63">
    <w:name w:val="xl63"/>
    <w:basedOn w:val="Normal"/>
    <w:rsid w:val="00E36757"/>
    <w:pPr>
      <w:spacing w:before="100" w:beforeAutospacing="1" w:after="100" w:afterAutospacing="1"/>
      <w:jc w:val="center"/>
      <w:textAlignment w:val="center"/>
    </w:pPr>
    <w:rPr>
      <w:noProof w:val="0"/>
      <w:lang w:eastAsia="id-ID"/>
    </w:rPr>
  </w:style>
  <w:style w:type="paragraph" w:customStyle="1" w:styleId="xl65">
    <w:name w:val="xl65"/>
    <w:basedOn w:val="Normal"/>
    <w:rsid w:val="00E367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noProof w:val="0"/>
      <w:lang w:eastAsia="id-ID"/>
    </w:rPr>
  </w:style>
  <w:style w:type="paragraph" w:customStyle="1" w:styleId="xl66">
    <w:name w:val="xl66"/>
    <w:basedOn w:val="Normal"/>
    <w:rsid w:val="00E367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eastAsia="id-ID"/>
    </w:rPr>
  </w:style>
  <w:style w:type="paragraph" w:customStyle="1" w:styleId="xl67">
    <w:name w:val="xl67"/>
    <w:basedOn w:val="Normal"/>
    <w:rsid w:val="00E367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eastAsia="id-ID"/>
    </w:rPr>
  </w:style>
  <w:style w:type="paragraph" w:customStyle="1" w:styleId="xl68">
    <w:name w:val="xl68"/>
    <w:basedOn w:val="Normal"/>
    <w:rsid w:val="00E36757"/>
    <w:pPr>
      <w:spacing w:before="100" w:beforeAutospacing="1" w:after="100" w:afterAutospacing="1"/>
      <w:jc w:val="center"/>
      <w:textAlignment w:val="center"/>
    </w:pPr>
    <w:rPr>
      <w:noProof w:val="0"/>
      <w:lang w:eastAsia="id-ID"/>
    </w:rPr>
  </w:style>
  <w:style w:type="paragraph" w:styleId="TableofFigures">
    <w:name w:val="table of figures"/>
    <w:basedOn w:val="Normal"/>
    <w:next w:val="Normal"/>
    <w:uiPriority w:val="99"/>
    <w:unhideWhenUsed/>
    <w:rsid w:val="00E36757"/>
    <w:pPr>
      <w:spacing w:line="276" w:lineRule="auto"/>
    </w:pPr>
    <w:rPr>
      <w:rFonts w:asciiTheme="minorHAnsi" w:eastAsiaTheme="minorHAnsi" w:hAnsiTheme="minorHAnsi" w:cstheme="minorBidi"/>
      <w:noProof w:val="0"/>
      <w:sz w:val="22"/>
      <w:szCs w:val="22"/>
      <w:lang w:val="en-US"/>
    </w:rPr>
  </w:style>
  <w:style w:type="paragraph" w:customStyle="1" w:styleId="Style13">
    <w:name w:val="Style13"/>
    <w:basedOn w:val="Caption"/>
    <w:link w:val="Style13Char"/>
    <w:qFormat/>
    <w:rsid w:val="00E36757"/>
    <w:pPr>
      <w:spacing w:line="240" w:lineRule="auto"/>
    </w:pPr>
    <w:rPr>
      <w:rFonts w:ascii="Arial" w:eastAsiaTheme="minorHAnsi" w:hAnsi="Arial" w:cstheme="minorBidi"/>
      <w:b w:val="0"/>
      <w:bCs w:val="0"/>
      <w:iCs/>
      <w:color w:val="44546A" w:themeColor="text2"/>
      <w:sz w:val="18"/>
      <w:szCs w:val="18"/>
    </w:rPr>
  </w:style>
  <w:style w:type="character" w:customStyle="1" w:styleId="Style13Char">
    <w:name w:val="Style13 Char"/>
    <w:basedOn w:val="CaptionChar"/>
    <w:link w:val="Style13"/>
    <w:rsid w:val="00E36757"/>
    <w:rPr>
      <w:rFonts w:ascii="Arial" w:eastAsiaTheme="minorHAnsi" w:hAnsi="Arial" w:cstheme="minorBidi"/>
      <w:b w:val="0"/>
      <w:bCs w:val="0"/>
      <w:iCs/>
      <w:noProof/>
      <w:color w:val="44546A" w:themeColor="text2"/>
      <w:sz w:val="18"/>
      <w:szCs w:val="18"/>
      <w:lang w:val="id-ID"/>
    </w:rPr>
  </w:style>
  <w:style w:type="paragraph" w:customStyle="1" w:styleId="Style14">
    <w:name w:val="Style14"/>
    <w:basedOn w:val="Caption"/>
    <w:link w:val="Style14Char"/>
    <w:qFormat/>
    <w:rsid w:val="00E36757"/>
    <w:pPr>
      <w:spacing w:line="240" w:lineRule="auto"/>
    </w:pPr>
    <w:rPr>
      <w:rFonts w:ascii="Arial" w:eastAsiaTheme="minorHAnsi" w:hAnsi="Arial" w:cstheme="minorBidi"/>
      <w:b w:val="0"/>
      <w:bCs w:val="0"/>
      <w:iCs/>
      <w:color w:val="000000" w:themeColor="text1"/>
      <w:sz w:val="18"/>
      <w:szCs w:val="18"/>
    </w:rPr>
  </w:style>
  <w:style w:type="character" w:customStyle="1" w:styleId="Style14Char">
    <w:name w:val="Style14 Char"/>
    <w:basedOn w:val="CaptionChar"/>
    <w:link w:val="Style14"/>
    <w:rsid w:val="00E36757"/>
    <w:rPr>
      <w:rFonts w:ascii="Arial" w:eastAsiaTheme="minorHAnsi" w:hAnsi="Arial" w:cstheme="minorBidi"/>
      <w:b w:val="0"/>
      <w:bCs w:val="0"/>
      <w:iCs/>
      <w:noProof/>
      <w:color w:val="000000" w:themeColor="text1"/>
      <w:sz w:val="18"/>
      <w:szCs w:val="18"/>
      <w:lang w:val="id-ID"/>
    </w:rPr>
  </w:style>
  <w:style w:type="paragraph" w:customStyle="1" w:styleId="Style15">
    <w:name w:val="Style15"/>
    <w:basedOn w:val="Caption"/>
    <w:link w:val="Style15Char"/>
    <w:qFormat/>
    <w:rsid w:val="00E36757"/>
    <w:pPr>
      <w:spacing w:before="120" w:after="120" w:line="240" w:lineRule="auto"/>
    </w:pPr>
    <w:rPr>
      <w:rFonts w:ascii="Arial" w:eastAsiaTheme="minorHAnsi" w:hAnsi="Arial" w:cstheme="minorBidi"/>
      <w:b w:val="0"/>
      <w:bCs w:val="0"/>
      <w:iCs/>
      <w:color w:val="000000" w:themeColor="text1"/>
      <w:sz w:val="18"/>
      <w:szCs w:val="18"/>
    </w:rPr>
  </w:style>
  <w:style w:type="character" w:customStyle="1" w:styleId="Style15Char">
    <w:name w:val="Style15 Char"/>
    <w:basedOn w:val="CaptionChar"/>
    <w:link w:val="Style15"/>
    <w:rsid w:val="00E36757"/>
    <w:rPr>
      <w:rFonts w:ascii="Arial" w:eastAsiaTheme="minorHAnsi" w:hAnsi="Arial" w:cstheme="minorBidi"/>
      <w:b w:val="0"/>
      <w:bCs w:val="0"/>
      <w:iCs/>
      <w:noProof/>
      <w:color w:val="000000" w:themeColor="text1"/>
      <w:sz w:val="18"/>
      <w:szCs w:val="18"/>
      <w:lang w:val="id-ID"/>
    </w:rPr>
  </w:style>
  <w:style w:type="paragraph" w:customStyle="1" w:styleId="Style16">
    <w:name w:val="Style16"/>
    <w:basedOn w:val="Caption"/>
    <w:link w:val="Style16Char"/>
    <w:qFormat/>
    <w:rsid w:val="00E36757"/>
    <w:pPr>
      <w:spacing w:before="120" w:after="120" w:line="240" w:lineRule="auto"/>
    </w:pPr>
    <w:rPr>
      <w:rFonts w:ascii="Arial" w:eastAsiaTheme="minorHAnsi" w:hAnsi="Arial"/>
      <w:b w:val="0"/>
      <w:bCs w:val="0"/>
      <w:iCs/>
      <w:color w:val="44546A" w:themeColor="text2"/>
      <w:sz w:val="18"/>
      <w:szCs w:val="18"/>
    </w:rPr>
  </w:style>
  <w:style w:type="character" w:customStyle="1" w:styleId="Style16Char">
    <w:name w:val="Style16 Char"/>
    <w:basedOn w:val="CaptionChar"/>
    <w:link w:val="Style16"/>
    <w:rsid w:val="00E36757"/>
    <w:rPr>
      <w:rFonts w:ascii="Arial" w:eastAsiaTheme="minorHAnsi" w:hAnsi="Arial" w:cs="Arial"/>
      <w:b w:val="0"/>
      <w:bCs w:val="0"/>
      <w:iCs/>
      <w:noProof/>
      <w:color w:val="44546A" w:themeColor="text2"/>
      <w:sz w:val="18"/>
      <w:szCs w:val="18"/>
      <w:lang w:val="id-ID"/>
    </w:rPr>
  </w:style>
  <w:style w:type="paragraph" w:customStyle="1" w:styleId="Style17">
    <w:name w:val="Style17"/>
    <w:basedOn w:val="Style16"/>
    <w:link w:val="Style17Char"/>
    <w:qFormat/>
    <w:rsid w:val="00E36757"/>
    <w:pPr>
      <w:jc w:val="center"/>
    </w:pPr>
    <w:rPr>
      <w:color w:val="000000" w:themeColor="text1"/>
    </w:rPr>
  </w:style>
  <w:style w:type="character" w:customStyle="1" w:styleId="Style17Char">
    <w:name w:val="Style17 Char"/>
    <w:basedOn w:val="Style16Char"/>
    <w:link w:val="Style17"/>
    <w:rsid w:val="00E36757"/>
    <w:rPr>
      <w:rFonts w:ascii="Arial" w:eastAsiaTheme="minorHAnsi" w:hAnsi="Arial" w:cs="Arial"/>
      <w:b w:val="0"/>
      <w:bCs w:val="0"/>
      <w:iCs/>
      <w:noProof/>
      <w:color w:val="000000" w:themeColor="text1"/>
      <w:sz w:val="18"/>
      <w:szCs w:val="18"/>
      <w:lang w:val="id-ID"/>
    </w:rPr>
  </w:style>
  <w:style w:type="character" w:customStyle="1" w:styleId="fullpost1">
    <w:name w:val="fullpost1"/>
    <w:rsid w:val="007E3D0C"/>
    <w:rPr>
      <w:vanish w:val="0"/>
      <w:webHidden w:val="0"/>
      <w:specVanish/>
    </w:rPr>
  </w:style>
  <w:style w:type="paragraph" w:customStyle="1" w:styleId="TESISSubBABV">
    <w:name w:val="TESIS Sub BAB V"/>
    <w:basedOn w:val="Heading2"/>
    <w:qFormat/>
    <w:rsid w:val="00A10E94"/>
    <w:pPr>
      <w:numPr>
        <w:numId w:val="4"/>
      </w:numPr>
      <w:tabs>
        <w:tab w:val="left" w:pos="284"/>
        <w:tab w:val="num" w:pos="360"/>
      </w:tabs>
      <w:spacing w:before="0" w:after="0" w:line="360" w:lineRule="auto"/>
      <w:ind w:left="357" w:hanging="357"/>
    </w:pPr>
    <w:rPr>
      <w:rFonts w:ascii="Arial" w:eastAsia="Calibri" w:hAnsi="Arial" w:cs="Arial"/>
      <w:i w:val="0"/>
      <w:noProof w:val="0"/>
      <w:sz w:val="22"/>
      <w:szCs w:val="24"/>
      <w:lang w:val="en-US"/>
    </w:rPr>
  </w:style>
  <w:style w:type="paragraph" w:customStyle="1" w:styleId="TESISSUBSUBBABVI61">
    <w:name w:val="TESIS SUB SUB BAB VI 6.1"/>
    <w:basedOn w:val="Normal"/>
    <w:qFormat/>
    <w:rsid w:val="00A10E94"/>
    <w:pPr>
      <w:keepNext/>
      <w:numPr>
        <w:numId w:val="5"/>
      </w:numPr>
      <w:tabs>
        <w:tab w:val="left" w:pos="284"/>
      </w:tabs>
      <w:spacing w:line="360" w:lineRule="auto"/>
      <w:ind w:left="924" w:hanging="357"/>
      <w:jc w:val="both"/>
      <w:outlineLvl w:val="1"/>
    </w:pPr>
    <w:rPr>
      <w:rFonts w:ascii="Arial" w:eastAsia="Calibri" w:hAnsi="Arial" w:cs="Arial"/>
      <w:b/>
      <w:bCs/>
      <w:iCs/>
      <w:noProof w:val="0"/>
      <w:sz w:val="22"/>
      <w:lang w:val="en-US"/>
    </w:rPr>
  </w:style>
  <w:style w:type="character" w:styleId="FollowedHyperlink">
    <w:name w:val="FollowedHyperlink"/>
    <w:basedOn w:val="DefaultParagraphFont"/>
    <w:uiPriority w:val="99"/>
    <w:semiHidden/>
    <w:unhideWhenUsed/>
    <w:rsid w:val="00A10E94"/>
    <w:rPr>
      <w:color w:val="954F72" w:themeColor="followedHyperlink"/>
      <w:u w:val="single"/>
    </w:rPr>
  </w:style>
  <w:style w:type="paragraph" w:customStyle="1" w:styleId="TESISSUBBABVI">
    <w:name w:val="TESIS SUB BAB VI"/>
    <w:basedOn w:val="Heading2"/>
    <w:qFormat/>
    <w:rsid w:val="00A10E94"/>
    <w:pPr>
      <w:numPr>
        <w:numId w:val="6"/>
      </w:numPr>
      <w:tabs>
        <w:tab w:val="left" w:pos="284"/>
      </w:tabs>
      <w:spacing w:before="0" w:after="0" w:line="360" w:lineRule="auto"/>
      <w:ind w:left="357" w:hanging="357"/>
    </w:pPr>
    <w:rPr>
      <w:rFonts w:ascii="Arial" w:eastAsia="Calibri" w:hAnsi="Arial" w:cs="Arial"/>
      <w:i w:val="0"/>
      <w:noProof w:val="0"/>
      <w:sz w:val="22"/>
      <w:szCs w:val="24"/>
      <w:lang w:val="en-US"/>
    </w:rPr>
  </w:style>
  <w:style w:type="paragraph" w:customStyle="1" w:styleId="TESISSUBSUBBABVI62">
    <w:name w:val="TESIS SUB SUB BAB VI 6.2"/>
    <w:basedOn w:val="TESISSUBSUBBABVI61"/>
    <w:qFormat/>
    <w:rsid w:val="00A10E94"/>
    <w:pPr>
      <w:numPr>
        <w:numId w:val="7"/>
      </w:numPr>
    </w:pPr>
    <w:rPr>
      <w:rFonts w:eastAsia="Times New Roman"/>
      <w:color w:val="000000"/>
      <w:szCs w:val="20"/>
    </w:rPr>
  </w:style>
  <w:style w:type="paragraph" w:customStyle="1" w:styleId="TESISSUBSUBBABIII372">
    <w:name w:val="TESIS SUB SUB BAB III 3.7.2"/>
    <w:basedOn w:val="Heading4"/>
    <w:qFormat/>
    <w:rsid w:val="00A10E94"/>
    <w:pPr>
      <w:numPr>
        <w:numId w:val="8"/>
      </w:numPr>
      <w:tabs>
        <w:tab w:val="num" w:pos="360"/>
      </w:tabs>
      <w:spacing w:line="360" w:lineRule="auto"/>
      <w:ind w:left="0" w:firstLine="0"/>
      <w:jc w:val="both"/>
    </w:pPr>
    <w:rPr>
      <w:rFonts w:ascii="Arial" w:eastAsia="Times New Roman" w:hAnsi="Arial" w:cs="Arial"/>
      <w:sz w:val="22"/>
    </w:rPr>
  </w:style>
  <w:style w:type="paragraph" w:customStyle="1" w:styleId="TESISSUBSUBSUBBABIII3731">
    <w:name w:val="TESIS SUB SUB SUB BAB III 3.7.3.1"/>
    <w:basedOn w:val="Heading4"/>
    <w:qFormat/>
    <w:rsid w:val="00A10E94"/>
    <w:pPr>
      <w:numPr>
        <w:numId w:val="9"/>
      </w:numPr>
      <w:tabs>
        <w:tab w:val="num" w:pos="360"/>
        <w:tab w:val="left" w:pos="993"/>
      </w:tabs>
      <w:spacing w:line="360" w:lineRule="auto"/>
      <w:ind w:left="0" w:firstLine="0"/>
      <w:jc w:val="both"/>
    </w:pPr>
    <w:rPr>
      <w:rFonts w:ascii="Arial" w:eastAsia="Times New Roman" w:hAnsi="Arial" w:cs="Arial"/>
      <w:sz w:val="22"/>
    </w:rPr>
  </w:style>
  <w:style w:type="paragraph" w:customStyle="1" w:styleId="TESISSUBBABVII">
    <w:name w:val="TESIS SUB BAB VII"/>
    <w:basedOn w:val="TESISSUBBABVI"/>
    <w:qFormat/>
    <w:rsid w:val="00A10E94"/>
    <w:pPr>
      <w:numPr>
        <w:numId w:val="10"/>
      </w:numPr>
    </w:pPr>
  </w:style>
  <w:style w:type="paragraph" w:customStyle="1" w:styleId="TESISPRABAB">
    <w:name w:val="TESIS PRA BAB"/>
    <w:basedOn w:val="Heading1"/>
    <w:qFormat/>
    <w:rsid w:val="00A10E94"/>
    <w:pPr>
      <w:keepLines w:val="0"/>
      <w:shd w:val="clear" w:color="auto" w:fill="FFFFFF"/>
      <w:spacing w:before="0" w:line="360" w:lineRule="auto"/>
      <w:ind w:left="709" w:hanging="709"/>
      <w:jc w:val="both"/>
    </w:pPr>
    <w:rPr>
      <w:rFonts w:ascii="Arial" w:hAnsi="Arial" w:cs="Arial"/>
      <w:b w:val="0"/>
      <w:noProof w:val="0"/>
      <w:color w:val="auto"/>
      <w:kern w:val="32"/>
      <w:sz w:val="22"/>
      <w:szCs w:val="22"/>
      <w:lang w:val="en-US"/>
    </w:rPr>
  </w:style>
  <w:style w:type="character" w:customStyle="1" w:styleId="UnresolvedMention1">
    <w:name w:val="Unresolved Mention1"/>
    <w:uiPriority w:val="99"/>
    <w:semiHidden/>
    <w:unhideWhenUsed/>
    <w:rsid w:val="00264743"/>
    <w:rPr>
      <w:color w:val="605E5C"/>
      <w:shd w:val="clear" w:color="auto" w:fill="E1DFDD"/>
    </w:rPr>
  </w:style>
  <w:style w:type="table" w:customStyle="1" w:styleId="TableGrid2">
    <w:name w:val="Table Grid2"/>
    <w:basedOn w:val="TableNormal"/>
    <w:next w:val="TableGrid"/>
    <w:uiPriority w:val="39"/>
    <w:rsid w:val="00264743"/>
    <w:rPr>
      <w:rFonts w:ascii="Calibri" w:eastAsia="Calibri" w:hAnsi="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4743"/>
    <w:rPr>
      <w:rFonts w:ascii="Calibri" w:eastAsia="Calibri" w:hAnsi="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64743"/>
    <w:rPr>
      <w:rFonts w:ascii="Calibri" w:eastAsia="Calibri" w:hAnsi="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64743"/>
  </w:style>
  <w:style w:type="paragraph" w:customStyle="1" w:styleId="Bibliography1">
    <w:name w:val="Bibliography1"/>
    <w:basedOn w:val="Normal"/>
    <w:next w:val="Normal"/>
    <w:uiPriority w:val="37"/>
    <w:unhideWhenUsed/>
    <w:qFormat/>
    <w:rsid w:val="003C74DC"/>
    <w:pPr>
      <w:spacing w:after="200" w:line="276" w:lineRule="auto"/>
    </w:pPr>
    <w:rPr>
      <w:rFonts w:ascii="Calibri" w:eastAsia="Calibri" w:hAnsi="Calibri"/>
      <w:noProof w:val="0"/>
      <w:sz w:val="22"/>
      <w:szCs w:val="22"/>
    </w:rPr>
  </w:style>
  <w:style w:type="character" w:customStyle="1" w:styleId="a">
    <w:name w:val="a"/>
    <w:rsid w:val="00BB44B4"/>
  </w:style>
  <w:style w:type="paragraph" w:customStyle="1" w:styleId="NoSpacing1">
    <w:name w:val="No Spacing1"/>
    <w:uiPriority w:val="1"/>
    <w:qFormat/>
    <w:rsid w:val="000B2431"/>
    <w:rPr>
      <w:rFonts w:asciiTheme="minorHAnsi" w:eastAsiaTheme="minorHAnsi" w:hAnsiTheme="minorHAnsi" w:cstheme="minorBidi"/>
      <w:sz w:val="22"/>
      <w:szCs w:val="22"/>
    </w:rPr>
  </w:style>
  <w:style w:type="paragraph" w:customStyle="1" w:styleId="Bab">
    <w:name w:val="Bab"/>
    <w:basedOn w:val="Normal"/>
    <w:rsid w:val="008456FE"/>
    <w:pPr>
      <w:spacing w:before="240"/>
    </w:pPr>
    <w:rPr>
      <w:rFonts w:ascii="Arial" w:hAnsi="Arial"/>
      <w:b/>
      <w:caps/>
      <w:noProof w:val="0"/>
      <w:sz w:val="20"/>
      <w:szCs w:val="20"/>
      <w:lang w:val="en-US"/>
    </w:rPr>
  </w:style>
  <w:style w:type="character" w:customStyle="1" w:styleId="fontstyle01">
    <w:name w:val="fontstyle01"/>
    <w:basedOn w:val="DefaultParagraphFont"/>
    <w:rsid w:val="00257F4F"/>
    <w:rPr>
      <w:rFonts w:ascii="TrebuchetMS" w:hAnsi="TrebuchetMS" w:hint="default"/>
      <w:b w:val="0"/>
      <w:bCs w:val="0"/>
      <w:i w:val="0"/>
      <w:iCs w:val="0"/>
      <w:color w:val="000000"/>
      <w:sz w:val="18"/>
      <w:szCs w:val="18"/>
    </w:rPr>
  </w:style>
  <w:style w:type="character" w:customStyle="1" w:styleId="A3">
    <w:name w:val="A3"/>
    <w:uiPriority w:val="99"/>
    <w:rsid w:val="00257F4F"/>
    <w:rPr>
      <w:color w:val="000000"/>
      <w:sz w:val="22"/>
      <w:szCs w:val="22"/>
    </w:rPr>
  </w:style>
  <w:style w:type="paragraph" w:customStyle="1" w:styleId="Paragraf">
    <w:name w:val="Paragraf"/>
    <w:basedOn w:val="Normal"/>
    <w:link w:val="ParagrafChar"/>
    <w:qFormat/>
    <w:rsid w:val="00257F4F"/>
    <w:pPr>
      <w:ind w:firstLine="567"/>
      <w:jc w:val="both"/>
    </w:pPr>
    <w:rPr>
      <w:rFonts w:eastAsia="MS Mincho"/>
      <w:noProof w:val="0"/>
      <w:szCs w:val="20"/>
    </w:rPr>
  </w:style>
  <w:style w:type="character" w:customStyle="1" w:styleId="ParagrafChar">
    <w:name w:val="Paragraf Char"/>
    <w:link w:val="Paragraf"/>
    <w:rsid w:val="00257F4F"/>
    <w:rPr>
      <w:rFonts w:eastAsia="MS Mincho"/>
      <w:sz w:val="24"/>
      <w:lang w:val="id-ID"/>
    </w:rPr>
  </w:style>
  <w:style w:type="character" w:customStyle="1" w:styleId="contribdegrees">
    <w:name w:val="contribdegrees"/>
    <w:basedOn w:val="DefaultParagraphFont"/>
    <w:rsid w:val="00257F4F"/>
  </w:style>
  <w:style w:type="paragraph" w:customStyle="1" w:styleId="Title1">
    <w:name w:val="Title1"/>
    <w:basedOn w:val="Normal"/>
    <w:rsid w:val="001000B4"/>
    <w:pPr>
      <w:spacing w:before="100" w:beforeAutospacing="1" w:after="100" w:afterAutospacing="1"/>
    </w:pPr>
    <w:rPr>
      <w:noProof w:val="0"/>
      <w:lang w:val="en-US"/>
    </w:rPr>
  </w:style>
  <w:style w:type="character" w:customStyle="1" w:styleId="CharAttribute2">
    <w:name w:val="CharAttribute2"/>
    <w:rsid w:val="001000B4"/>
    <w:rPr>
      <w:rFonts w:ascii="Times New Roman" w:eastAsia="Gulim"/>
      <w:sz w:val="24"/>
    </w:rPr>
  </w:style>
  <w:style w:type="paragraph" w:customStyle="1" w:styleId="ParaAttribute1">
    <w:name w:val="ParaAttribute1"/>
    <w:rsid w:val="001000B4"/>
    <w:pPr>
      <w:widowControl w:val="0"/>
      <w:wordWrap w:val="0"/>
    </w:pPr>
    <w:rPr>
      <w:rFonts w:eastAsia="Batang"/>
    </w:rPr>
  </w:style>
  <w:style w:type="paragraph" w:customStyle="1" w:styleId="ParaAttribute3">
    <w:name w:val="ParaAttribute3"/>
    <w:rsid w:val="001000B4"/>
    <w:pPr>
      <w:widowControl w:val="0"/>
      <w:wordWrap w:val="0"/>
      <w:spacing w:before="75" w:after="75"/>
      <w:jc w:val="both"/>
    </w:pPr>
    <w:rPr>
      <w:rFonts w:eastAsia="Batang"/>
    </w:rPr>
  </w:style>
  <w:style w:type="paragraph" w:styleId="FootnoteText">
    <w:name w:val="footnote text"/>
    <w:basedOn w:val="Normal"/>
    <w:link w:val="FootnoteTextChar"/>
    <w:semiHidden/>
    <w:unhideWhenUsed/>
    <w:rsid w:val="001000B4"/>
    <w:rPr>
      <w:noProof w:val="0"/>
      <w:sz w:val="20"/>
      <w:szCs w:val="20"/>
      <w:lang w:val="en-US"/>
    </w:rPr>
  </w:style>
  <w:style w:type="character" w:customStyle="1" w:styleId="FootnoteTextChar">
    <w:name w:val="Footnote Text Char"/>
    <w:basedOn w:val="DefaultParagraphFont"/>
    <w:link w:val="FootnoteText"/>
    <w:semiHidden/>
    <w:rsid w:val="001000B4"/>
  </w:style>
  <w:style w:type="character" w:styleId="FootnoteReference">
    <w:name w:val="footnote reference"/>
    <w:semiHidden/>
    <w:unhideWhenUsed/>
    <w:rsid w:val="001000B4"/>
    <w:rPr>
      <w:vertAlign w:val="superscript"/>
    </w:rPr>
  </w:style>
  <w:style w:type="table" w:styleId="ListTable3-Accent5">
    <w:name w:val="List Table 3 Accent 5"/>
    <w:basedOn w:val="TableNormal"/>
    <w:uiPriority w:val="48"/>
    <w:rsid w:val="001000B4"/>
    <w:rPr>
      <w:rFonts w:ascii="Calibri" w:eastAsia="Calibri" w:hAnsi="Calibri"/>
      <w:sz w:val="22"/>
      <w:szCs w:val="22"/>
      <w:lang w:val="id-ID"/>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character" w:customStyle="1" w:styleId="NoSpacingChar">
    <w:name w:val="No Spacing Char"/>
    <w:link w:val="NoSpacing"/>
    <w:uiPriority w:val="1"/>
    <w:rsid w:val="001000B4"/>
    <w:rPr>
      <w:sz w:val="24"/>
      <w:szCs w:val="24"/>
    </w:rPr>
  </w:style>
  <w:style w:type="table" w:customStyle="1" w:styleId="GridTable4-Accent61">
    <w:name w:val="Grid Table 4 - Accent 61"/>
    <w:basedOn w:val="TableNormal"/>
    <w:uiPriority w:val="49"/>
    <w:rsid w:val="001000B4"/>
    <w:rPr>
      <w:rFonts w:ascii="Calibri" w:eastAsia="Calibri" w:hAnsi="Calibri"/>
      <w:sz w:val="22"/>
      <w:szCs w:val="22"/>
      <w:lang w:val="id-ID"/>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PlaceholderText">
    <w:name w:val="Placeholder Text"/>
    <w:uiPriority w:val="99"/>
    <w:semiHidden/>
    <w:rsid w:val="001000B4"/>
    <w:rPr>
      <w:color w:val="808080"/>
    </w:rPr>
  </w:style>
  <w:style w:type="table" w:styleId="GridTable3-Accent5">
    <w:name w:val="Grid Table 3 Accent 5"/>
    <w:basedOn w:val="TableNormal"/>
    <w:uiPriority w:val="48"/>
    <w:rsid w:val="001000B4"/>
    <w:rPr>
      <w:rFonts w:ascii="Calibri" w:eastAsia="Calibri" w:hAnsi="Calibri"/>
      <w:sz w:val="22"/>
      <w:szCs w:val="22"/>
      <w:lang w:val="id-ID"/>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GridTable4-Accent1">
    <w:name w:val="Grid Table 4 Accent 1"/>
    <w:basedOn w:val="TableNormal"/>
    <w:uiPriority w:val="49"/>
    <w:rsid w:val="001000B4"/>
    <w:rPr>
      <w:rFonts w:ascii="Calibri" w:eastAsia="Calibri" w:hAnsi="Calibri"/>
      <w:sz w:val="22"/>
      <w:szCs w:val="22"/>
      <w:lang w:val="id-ID"/>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7Colorful-Accent5">
    <w:name w:val="Grid Table 7 Colorful Accent 5"/>
    <w:basedOn w:val="TableNormal"/>
    <w:uiPriority w:val="52"/>
    <w:rsid w:val="001000B4"/>
    <w:rPr>
      <w:rFonts w:ascii="Calibri" w:eastAsia="Calibri" w:hAnsi="Calibri"/>
      <w:color w:val="31849B"/>
      <w:sz w:val="22"/>
      <w:szCs w:val="22"/>
      <w:lang w:val="id-ID"/>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GridTable1Light-Accent5">
    <w:name w:val="Grid Table 1 Light Accent 5"/>
    <w:basedOn w:val="TableNormal"/>
    <w:uiPriority w:val="46"/>
    <w:rsid w:val="001000B4"/>
    <w:rPr>
      <w:rFonts w:ascii="Calibri" w:eastAsia="Calibri" w:hAnsi="Calibri"/>
      <w:sz w:val="22"/>
      <w:szCs w:val="22"/>
      <w:lang w:val="id-ID"/>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Sumber">
    <w:name w:val="Sumber"/>
    <w:basedOn w:val="Normal"/>
    <w:qFormat/>
    <w:rsid w:val="001000B4"/>
    <w:pPr>
      <w:keepNext/>
      <w:spacing w:line="280" w:lineRule="atLeast"/>
      <w:ind w:firstLine="567"/>
    </w:pPr>
    <w:rPr>
      <w:rFonts w:ascii="Cambria" w:eastAsia="Calibri" w:hAnsi="Cambria"/>
      <w:noProof w:val="0"/>
      <w:sz w:val="18"/>
      <w:szCs w:val="20"/>
    </w:rPr>
  </w:style>
  <w:style w:type="paragraph" w:customStyle="1" w:styleId="isitabel">
    <w:name w:val="isi tabel"/>
    <w:basedOn w:val="Normal"/>
    <w:qFormat/>
    <w:rsid w:val="001000B4"/>
    <w:pPr>
      <w:keepNext/>
      <w:spacing w:line="280" w:lineRule="atLeast"/>
      <w:jc w:val="center"/>
    </w:pPr>
    <w:rPr>
      <w:rFonts w:ascii="Cambria" w:eastAsia="Calibri" w:hAnsi="Cambria"/>
      <w:noProof w:val="0"/>
      <w:sz w:val="18"/>
      <w:szCs w:val="20"/>
    </w:rPr>
  </w:style>
  <w:style w:type="table" w:styleId="GridTable1Light-Accent1">
    <w:name w:val="Grid Table 1 Light Accent 1"/>
    <w:basedOn w:val="TableNormal"/>
    <w:uiPriority w:val="46"/>
    <w:rsid w:val="001000B4"/>
    <w:rPr>
      <w:rFonts w:ascii="Calibri" w:eastAsia="Calibri" w:hAnsi="Calibri"/>
      <w:sz w:val="22"/>
      <w:szCs w:val="22"/>
      <w:lang w:val="id-ID"/>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000B4"/>
    <w:rPr>
      <w:lang w:val="en-ID"/>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
    <w:name w:val="Grid Table 1 Light"/>
    <w:basedOn w:val="TableNormal"/>
    <w:uiPriority w:val="46"/>
    <w:rsid w:val="001000B4"/>
    <w:rPr>
      <w:lang w:val="en-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EndnoteText">
    <w:name w:val="endnote text"/>
    <w:basedOn w:val="Normal"/>
    <w:link w:val="EndnoteTextChar"/>
    <w:semiHidden/>
    <w:unhideWhenUsed/>
    <w:rsid w:val="001000B4"/>
    <w:rPr>
      <w:noProof w:val="0"/>
      <w:sz w:val="20"/>
      <w:szCs w:val="20"/>
      <w:lang w:val="en-US"/>
    </w:rPr>
  </w:style>
  <w:style w:type="character" w:customStyle="1" w:styleId="EndnoteTextChar">
    <w:name w:val="Endnote Text Char"/>
    <w:basedOn w:val="DefaultParagraphFont"/>
    <w:link w:val="EndnoteText"/>
    <w:semiHidden/>
    <w:rsid w:val="001000B4"/>
  </w:style>
  <w:style w:type="character" w:styleId="EndnoteReference">
    <w:name w:val="endnote reference"/>
    <w:semiHidden/>
    <w:unhideWhenUsed/>
    <w:rsid w:val="001000B4"/>
    <w:rPr>
      <w:vertAlign w:val="superscript"/>
    </w:rPr>
  </w:style>
  <w:style w:type="character" w:customStyle="1" w:styleId="CharAttribute8">
    <w:name w:val="CharAttribute8"/>
    <w:rsid w:val="001000B4"/>
    <w:rPr>
      <w:rFonts w:ascii="sans-serif" w:eastAsia="Times New Roman"/>
      <w:i/>
      <w:sz w:val="19"/>
    </w:rPr>
  </w:style>
  <w:style w:type="character" w:customStyle="1" w:styleId="CharAttribute7">
    <w:name w:val="CharAttribute7"/>
    <w:rsid w:val="001000B4"/>
    <w:rPr>
      <w:rFonts w:ascii="sans-serif" w:eastAsia="Times New Roman"/>
      <w:b/>
      <w:sz w:val="19"/>
    </w:rPr>
  </w:style>
  <w:style w:type="character" w:customStyle="1" w:styleId="CharAttribute13">
    <w:name w:val="CharAttribute13"/>
    <w:rsid w:val="001000B4"/>
    <w:rPr>
      <w:rFonts w:ascii="Arial" w:eastAsia="Times New Roman"/>
      <w:b/>
      <w:i/>
      <w:sz w:val="18"/>
    </w:rPr>
  </w:style>
  <w:style w:type="character" w:customStyle="1" w:styleId="A0">
    <w:name w:val="A0"/>
    <w:uiPriority w:val="99"/>
    <w:rsid w:val="001000B4"/>
    <w:rPr>
      <w:color w:val="000000"/>
      <w:sz w:val="22"/>
      <w:szCs w:val="22"/>
    </w:rPr>
  </w:style>
  <w:style w:type="paragraph" w:customStyle="1" w:styleId="Pa5">
    <w:name w:val="Pa5"/>
    <w:basedOn w:val="Default"/>
    <w:next w:val="Default"/>
    <w:uiPriority w:val="99"/>
    <w:rsid w:val="001000B4"/>
    <w:pPr>
      <w:spacing w:line="251" w:lineRule="atLeast"/>
    </w:pPr>
    <w:rPr>
      <w:color w:val="auto"/>
    </w:rPr>
  </w:style>
  <w:style w:type="paragraph" w:customStyle="1" w:styleId="ParaAttribute0">
    <w:name w:val="ParaAttribute0"/>
    <w:rsid w:val="001000B4"/>
    <w:pPr>
      <w:widowControl w:val="0"/>
      <w:wordWrap w:val="0"/>
    </w:pPr>
    <w:rPr>
      <w:rFonts w:eastAsia="Batang"/>
    </w:rPr>
  </w:style>
  <w:style w:type="character" w:styleId="UnresolvedMention">
    <w:name w:val="Unresolved Mention"/>
    <w:basedOn w:val="DefaultParagraphFont"/>
    <w:uiPriority w:val="99"/>
    <w:semiHidden/>
    <w:unhideWhenUsed/>
    <w:rsid w:val="00FA6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3715">
      <w:bodyDiv w:val="1"/>
      <w:marLeft w:val="0"/>
      <w:marRight w:val="0"/>
      <w:marTop w:val="0"/>
      <w:marBottom w:val="0"/>
      <w:divBdr>
        <w:top w:val="none" w:sz="0" w:space="0" w:color="auto"/>
        <w:left w:val="none" w:sz="0" w:space="0" w:color="auto"/>
        <w:bottom w:val="none" w:sz="0" w:space="0" w:color="auto"/>
        <w:right w:val="none" w:sz="0" w:space="0" w:color="auto"/>
      </w:divBdr>
      <w:divsChild>
        <w:div w:id="1863010152">
          <w:marLeft w:val="0"/>
          <w:marRight w:val="0"/>
          <w:marTop w:val="0"/>
          <w:marBottom w:val="0"/>
          <w:divBdr>
            <w:top w:val="none" w:sz="0" w:space="0" w:color="auto"/>
            <w:left w:val="none" w:sz="0" w:space="0" w:color="auto"/>
            <w:bottom w:val="none" w:sz="0" w:space="0" w:color="auto"/>
            <w:right w:val="none" w:sz="0" w:space="0" w:color="auto"/>
          </w:divBdr>
        </w:div>
      </w:divsChild>
    </w:div>
    <w:div w:id="1201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Okw14</b:Tag>
    <b:SourceType>JournalArticle</b:SourceType>
    <b:Guid>{C0183971-EEE3-4DC9-BA90-F115ABDD6A7B}</b:Guid>
    <b:Title>Perubahan Struktural Tenaga Kerja dari Sektor Pertanian ke Sektor NonPertanian di Provinsi Lampung</b:Title>
    <b:Year>2014</b:Year>
    <b:Author>
      <b:Author>
        <b:NameList>
          <b:Person>
            <b:Last>Himpuni</b:Last>
            <b:First>Okwan</b:First>
          </b:Person>
        </b:NameList>
      </b:Author>
    </b:Author>
    <b:JournalName>IPB</b:JournalName>
    <b:Pages>39</b:Pages>
    <b:RefOrder>6</b:RefOrder>
  </b:Source>
</b:Sources>
</file>

<file path=customXml/itemProps1.xml><?xml version="1.0" encoding="utf-8"?>
<ds:datastoreItem xmlns:ds="http://schemas.openxmlformats.org/officeDocument/2006/customXml" ds:itemID="{22B68423-7886-C949-BCE2-22EF864B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13512</Words>
  <Characters>77024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BIAYA TRANSAKSI PADA PENGEMBANGAN AGRIBISNIS PETERNAKAN SAPI POTONG DI PESANTREN</vt:lpstr>
    </vt:vector>
  </TitlesOfParts>
  <Company>Toshiba</Company>
  <LinksUpToDate>false</LinksUpToDate>
  <CharactersWithSpaces>90356</CharactersWithSpaces>
  <SharedDoc>false</SharedDoc>
  <HLinks>
    <vt:vector size="12" baseType="variant">
      <vt:variant>
        <vt:i4>3276905</vt:i4>
      </vt:variant>
      <vt:variant>
        <vt:i4>3</vt:i4>
      </vt:variant>
      <vt:variant>
        <vt:i4>0</vt:i4>
      </vt:variant>
      <vt:variant>
        <vt:i4>5</vt:i4>
      </vt:variant>
      <vt:variant>
        <vt:lpwstr>https://sidoarjokab.bps.go.id/</vt:lpwstr>
      </vt:variant>
      <vt:variant>
        <vt:lpwstr/>
      </vt:variant>
      <vt:variant>
        <vt:i4>4194319</vt:i4>
      </vt:variant>
      <vt:variant>
        <vt:i4>0</vt:i4>
      </vt:variant>
      <vt:variant>
        <vt:i4>0</vt:i4>
      </vt:variant>
      <vt:variant>
        <vt:i4>5</vt:i4>
      </vt:variant>
      <vt:variant>
        <vt:lpwstr>https://jatim.bps.go.id/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BIAYA TRANSAKSI PADA PENGEMBANGAN AGRIBISNIS PETERNAKAN SAPI POTONG DI PESANTREN</dc:title>
  <dc:subject/>
  <dc:creator>rosihan</dc:creator>
  <cp:keywords/>
  <cp:lastModifiedBy>rosihan asmara</cp:lastModifiedBy>
  <cp:revision>184</cp:revision>
  <cp:lastPrinted>2018-11-12T13:24:00Z</cp:lastPrinted>
  <dcterms:created xsi:type="dcterms:W3CDTF">2018-11-12T13:24:00Z</dcterms:created>
  <dcterms:modified xsi:type="dcterms:W3CDTF">2019-03-09T07:08:00Z</dcterms:modified>
</cp:coreProperties>
</file>